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609" w:rsidRPr="00B50F8C" w:rsidRDefault="00ED220D" w:rsidP="00B50F8C">
      <w:pPr>
        <w:jc w:val="center"/>
        <w:rPr>
          <w:b/>
        </w:rPr>
      </w:pPr>
      <w:r w:rsidRPr="00B50F8C">
        <w:rPr>
          <w:b/>
        </w:rPr>
        <w:t>CHECKLIST</w:t>
      </w:r>
      <w:r w:rsidR="00065EE2" w:rsidRPr="00B50F8C">
        <w:rPr>
          <w:b/>
        </w:rPr>
        <w:t>:</w:t>
      </w:r>
      <w:r w:rsidRPr="00B50F8C">
        <w:rPr>
          <w:b/>
        </w:rPr>
        <w:t xml:space="preserve"> </w:t>
      </w:r>
      <w:r w:rsidR="00E746E1" w:rsidRPr="00B50F8C">
        <w:rPr>
          <w:b/>
        </w:rPr>
        <w:t>P</w:t>
      </w:r>
      <w:r w:rsidR="004077E1" w:rsidRPr="00B50F8C">
        <w:rPr>
          <w:b/>
        </w:rPr>
        <w:t xml:space="preserve">olicies and </w:t>
      </w:r>
      <w:r w:rsidR="00E746E1" w:rsidRPr="00B50F8C">
        <w:rPr>
          <w:b/>
        </w:rPr>
        <w:t>P</w:t>
      </w:r>
      <w:r w:rsidR="004077E1" w:rsidRPr="00B50F8C">
        <w:rPr>
          <w:b/>
        </w:rPr>
        <w:t xml:space="preserve">rocedures for </w:t>
      </w:r>
      <w:r w:rsidRPr="00B50F8C">
        <w:rPr>
          <w:b/>
        </w:rPr>
        <w:t>Handling</w:t>
      </w:r>
      <w:r w:rsidR="00347256" w:rsidRPr="00B50F8C">
        <w:rPr>
          <w:b/>
        </w:rPr>
        <w:t xml:space="preserve"> </w:t>
      </w:r>
      <w:r w:rsidR="00E746E1" w:rsidRPr="00B50F8C">
        <w:rPr>
          <w:b/>
        </w:rPr>
        <w:t>R</w:t>
      </w:r>
      <w:r w:rsidR="004077E1" w:rsidRPr="00B50F8C">
        <w:rPr>
          <w:b/>
        </w:rPr>
        <w:t xml:space="preserve">esearch </w:t>
      </w:r>
      <w:r w:rsidR="00E746E1" w:rsidRPr="00B50F8C">
        <w:rPr>
          <w:b/>
        </w:rPr>
        <w:t>M</w:t>
      </w:r>
      <w:r w:rsidR="004077E1" w:rsidRPr="00B50F8C">
        <w:rPr>
          <w:b/>
        </w:rPr>
        <w:t>isconduct</w:t>
      </w:r>
      <w:r w:rsidR="009C0A7A" w:rsidRPr="00B50F8C">
        <w:rPr>
          <w:b/>
        </w:rPr>
        <w:t xml:space="preserve"> Allegations</w:t>
      </w:r>
    </w:p>
    <w:p w:rsidR="00065EE2" w:rsidRPr="00B2211B" w:rsidRDefault="00065EE2" w:rsidP="003504F8">
      <w:pPr>
        <w:spacing w:after="0" w:line="240" w:lineRule="auto"/>
        <w:rPr>
          <w:rFonts w:cs="Times New Roman"/>
          <w:sz w:val="20"/>
          <w:szCs w:val="20"/>
        </w:rPr>
      </w:pPr>
      <w:r w:rsidRPr="00065EE2">
        <w:rPr>
          <w:rFonts w:cs="Times New Roman"/>
          <w:sz w:val="20"/>
          <w:szCs w:val="20"/>
        </w:rPr>
        <w:t xml:space="preserve">This checklist is used by </w:t>
      </w:r>
      <w:r w:rsidR="00504577">
        <w:rPr>
          <w:rFonts w:cs="Times New Roman"/>
          <w:sz w:val="20"/>
          <w:szCs w:val="20"/>
        </w:rPr>
        <w:t>the U.S. Department of Health and Human Services, Office of Research Integrity (ORI)</w:t>
      </w:r>
      <w:r w:rsidRPr="00065EE2">
        <w:rPr>
          <w:rFonts w:cs="Times New Roman"/>
          <w:sz w:val="20"/>
          <w:szCs w:val="20"/>
        </w:rPr>
        <w:t xml:space="preserve"> and is intended only to provide general information regarding ORI’s review of institutional policies.  It should not be used by institutions or relied on by them as a substitute for familiarity with the Federal laws and regulations applicable to research misconduct, including 42 U.S.C. 289b and 42 C.F.R. Part 93.  The information presented in the checklist is not legal advice, is not to be acted on as such, may not be current, and is subject to change without notice.</w:t>
      </w:r>
    </w:p>
    <w:p w:rsidR="00216571" w:rsidRPr="00B2211B" w:rsidRDefault="00216571" w:rsidP="003504F8">
      <w:pPr>
        <w:pStyle w:val="ListParagraph"/>
        <w:spacing w:line="240" w:lineRule="auto"/>
        <w:rPr>
          <w:rFonts w:cs="Times New Roman"/>
          <w:sz w:val="20"/>
          <w:szCs w:val="20"/>
        </w:rPr>
      </w:pPr>
    </w:p>
    <w:tbl>
      <w:tblPr>
        <w:tblStyle w:val="TableGrid"/>
        <w:tblW w:w="10440" w:type="dxa"/>
        <w:tblInd w:w="-342" w:type="dxa"/>
        <w:tblLayout w:type="fixed"/>
        <w:tblLook w:val="04A0" w:firstRow="1" w:lastRow="0" w:firstColumn="1" w:lastColumn="0" w:noHBand="0" w:noVBand="1"/>
      </w:tblPr>
      <w:tblGrid>
        <w:gridCol w:w="1350"/>
        <w:gridCol w:w="9090"/>
      </w:tblGrid>
      <w:tr w:rsidR="003504F8" w:rsidRPr="00B2211B" w:rsidTr="00E97B2E">
        <w:tc>
          <w:tcPr>
            <w:tcW w:w="10440" w:type="dxa"/>
            <w:gridSpan w:val="2"/>
          </w:tcPr>
          <w:p w:rsidR="00216571" w:rsidRPr="00B2211B" w:rsidRDefault="00216571" w:rsidP="003504F8">
            <w:pPr>
              <w:pStyle w:val="ListParagraph"/>
              <w:numPr>
                <w:ilvl w:val="0"/>
                <w:numId w:val="3"/>
              </w:numPr>
              <w:ind w:left="446"/>
              <w:rPr>
                <w:rFonts w:cs="Times New Roman"/>
                <w:b/>
                <w:sz w:val="20"/>
                <w:szCs w:val="20"/>
              </w:rPr>
            </w:pPr>
            <w:r w:rsidRPr="00B2211B">
              <w:rPr>
                <w:rFonts w:cs="Times New Roman"/>
                <w:b/>
                <w:sz w:val="20"/>
                <w:szCs w:val="20"/>
              </w:rPr>
              <w:t>Policies and Procedures Requirements</w:t>
            </w:r>
            <w:r w:rsidR="00663D19" w:rsidRPr="00B2211B">
              <w:rPr>
                <w:rFonts w:cs="Times New Roman"/>
                <w:b/>
                <w:sz w:val="20"/>
                <w:szCs w:val="20"/>
              </w:rPr>
              <w:t xml:space="preserve"> Pursuant to §93.304. </w:t>
            </w:r>
            <w:r w:rsidR="00663D19" w:rsidRPr="00B2211B">
              <w:rPr>
                <w:rFonts w:cs="Times New Roman"/>
                <w:sz w:val="20"/>
                <w:szCs w:val="20"/>
              </w:rPr>
              <w:t xml:space="preserve">Institutions seeking an approved assurance </w:t>
            </w:r>
            <w:r w:rsidR="00663D19" w:rsidRPr="00B2211B">
              <w:rPr>
                <w:rFonts w:cs="Times New Roman"/>
                <w:b/>
                <w:sz w:val="20"/>
                <w:szCs w:val="20"/>
              </w:rPr>
              <w:t xml:space="preserve">must </w:t>
            </w:r>
            <w:r w:rsidR="00663D19" w:rsidRPr="00B2211B">
              <w:rPr>
                <w:rFonts w:cs="Times New Roman"/>
                <w:sz w:val="20"/>
                <w:szCs w:val="20"/>
              </w:rPr>
              <w:t xml:space="preserve">have written policies and procedures for addressing research misconduct that include the following:  </w:t>
            </w:r>
          </w:p>
        </w:tc>
      </w:tr>
      <w:tr w:rsidR="00ED220D" w:rsidRPr="00B2211B" w:rsidTr="00ED220D">
        <w:tc>
          <w:tcPr>
            <w:tcW w:w="1350" w:type="dxa"/>
          </w:tcPr>
          <w:p w:rsidR="00ED220D" w:rsidRPr="00B2211B" w:rsidRDefault="00ED220D" w:rsidP="00ED220D">
            <w:pPr>
              <w:rPr>
                <w:rFonts w:cs="Times New Roman"/>
                <w:b/>
                <w:sz w:val="20"/>
                <w:szCs w:val="20"/>
              </w:rPr>
            </w:pPr>
            <w:r w:rsidRPr="00B2211B">
              <w:rPr>
                <w:rFonts w:cs="Times New Roman"/>
                <w:b/>
                <w:sz w:val="20"/>
                <w:szCs w:val="20"/>
              </w:rPr>
              <w:t>Page/Section</w:t>
            </w:r>
          </w:p>
        </w:tc>
        <w:tc>
          <w:tcPr>
            <w:tcW w:w="9090" w:type="dxa"/>
          </w:tcPr>
          <w:p w:rsidR="00ED220D" w:rsidRPr="00B2211B" w:rsidRDefault="00ED220D" w:rsidP="003504F8">
            <w:pPr>
              <w:rPr>
                <w:rFonts w:cs="Times New Roman"/>
                <w:b/>
                <w:sz w:val="20"/>
                <w:szCs w:val="20"/>
              </w:rPr>
            </w:pPr>
            <w:r w:rsidRPr="00B2211B">
              <w:rPr>
                <w:rFonts w:cs="Times New Roman"/>
                <w:b/>
                <w:sz w:val="20"/>
                <w:szCs w:val="20"/>
              </w:rPr>
              <w:t>Criteria</w:t>
            </w: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D91292" w:rsidRDefault="00D91292" w:rsidP="00D91292">
            <w:pPr>
              <w:rPr>
                <w:rFonts w:cs="Times New Roman"/>
                <w:sz w:val="20"/>
                <w:szCs w:val="20"/>
              </w:rPr>
            </w:pPr>
            <w:r>
              <w:rPr>
                <w:rFonts w:cs="Times New Roman"/>
                <w:sz w:val="20"/>
                <w:szCs w:val="20"/>
              </w:rPr>
              <w:t xml:space="preserve">1. </w:t>
            </w:r>
            <w:r w:rsidR="00B50F8C" w:rsidRPr="00D91292">
              <w:rPr>
                <w:rFonts w:cs="Times New Roman"/>
                <w:sz w:val="20"/>
                <w:szCs w:val="20"/>
              </w:rPr>
              <w:t xml:space="preserve"> </w:t>
            </w:r>
            <w:r w:rsidR="00ED220D" w:rsidRPr="00D91292">
              <w:rPr>
                <w:rFonts w:cs="Times New Roman"/>
                <w:sz w:val="20"/>
                <w:szCs w:val="20"/>
              </w:rPr>
              <w:t xml:space="preserve">Consistent with Sec.  93.108, protection of the confidentiality of </w:t>
            </w:r>
          </w:p>
          <w:p w:rsidR="00ED220D" w:rsidRPr="00B2211B" w:rsidRDefault="002337F4" w:rsidP="003504F8">
            <w:pPr>
              <w:ind w:left="720"/>
              <w:rPr>
                <w:rFonts w:cs="Times New Roman"/>
                <w:sz w:val="20"/>
                <w:szCs w:val="20"/>
              </w:rPr>
            </w:pPr>
            <w:sdt>
              <w:sdtPr>
                <w:rPr>
                  <w:rFonts w:cs="Times New Roman"/>
                  <w:sz w:val="20"/>
                  <w:szCs w:val="20"/>
                </w:rPr>
                <w:id w:val="934875628"/>
                <w14:checkbox>
                  <w14:checked w14:val="0"/>
                  <w14:checkedState w14:val="2612" w14:font="MS Gothic"/>
                  <w14:uncheckedState w14:val="2610" w14:font="MS Gothic"/>
                </w14:checkbox>
              </w:sdtPr>
              <w:sdtEndPr/>
              <w:sdtContent>
                <w:r w:rsidR="00B50F8C">
                  <w:rPr>
                    <w:rFonts w:ascii="MS Gothic" w:eastAsia="MS Gothic" w:hAnsi="MS Gothic" w:cs="Times New Roman" w:hint="eastAsia"/>
                    <w:sz w:val="20"/>
                    <w:szCs w:val="20"/>
                  </w:rPr>
                  <w:t>☐</w:t>
                </w:r>
              </w:sdtContent>
            </w:sdt>
            <w:r w:rsidR="00ED220D" w:rsidRPr="00B2211B">
              <w:rPr>
                <w:rFonts w:cs="Times New Roman"/>
                <w:sz w:val="20"/>
                <w:szCs w:val="20"/>
              </w:rPr>
              <w:t xml:space="preserve"> Respondents, </w:t>
            </w:r>
          </w:p>
          <w:p w:rsidR="00ED220D" w:rsidRPr="00B2211B" w:rsidRDefault="002337F4" w:rsidP="003504F8">
            <w:pPr>
              <w:ind w:left="720"/>
              <w:rPr>
                <w:rFonts w:cs="Times New Roman"/>
                <w:sz w:val="20"/>
                <w:szCs w:val="20"/>
              </w:rPr>
            </w:pPr>
            <w:sdt>
              <w:sdtPr>
                <w:rPr>
                  <w:rFonts w:cs="Times New Roman"/>
                  <w:sz w:val="20"/>
                  <w:szCs w:val="20"/>
                </w:rPr>
                <w:id w:val="-1494714356"/>
                <w14:checkbox>
                  <w14:checked w14:val="0"/>
                  <w14:checkedState w14:val="2612" w14:font="MS Gothic"/>
                  <w14:uncheckedState w14:val="2610" w14:font="MS Gothic"/>
                </w14:checkbox>
              </w:sdtPr>
              <w:sdtEndPr/>
              <w:sdtContent>
                <w:r w:rsidR="002455BE">
                  <w:rPr>
                    <w:rFonts w:ascii="MS Gothic" w:eastAsia="MS Gothic" w:hAnsi="MS Gothic" w:cs="Times New Roman" w:hint="eastAsia"/>
                    <w:sz w:val="20"/>
                    <w:szCs w:val="20"/>
                  </w:rPr>
                  <w:t>☐</w:t>
                </w:r>
              </w:sdtContent>
            </w:sdt>
            <w:r w:rsidR="00ED220D" w:rsidRPr="00B2211B">
              <w:rPr>
                <w:rFonts w:cs="Times New Roman"/>
                <w:sz w:val="20"/>
                <w:szCs w:val="20"/>
              </w:rPr>
              <w:t xml:space="preserve"> Complainants, and </w:t>
            </w:r>
          </w:p>
          <w:p w:rsidR="00ED220D" w:rsidRPr="00B2211B" w:rsidRDefault="002337F4" w:rsidP="00420508">
            <w:pPr>
              <w:ind w:left="720"/>
              <w:rPr>
                <w:rFonts w:cs="Times New Roman"/>
                <w:sz w:val="20"/>
                <w:szCs w:val="20"/>
              </w:rPr>
            </w:pPr>
            <w:sdt>
              <w:sdtPr>
                <w:rPr>
                  <w:rFonts w:cs="Times New Roman"/>
                  <w:sz w:val="20"/>
                  <w:szCs w:val="20"/>
                </w:rPr>
                <w:id w:val="-1280171231"/>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Research subjects identifiable from research records or evidence (§93.304(a)) </w:t>
            </w:r>
            <w:r w:rsidR="00ED220D">
              <w:rPr>
                <w:rFonts w:cs="Times New Roman"/>
                <w:sz w:val="20"/>
                <w:szCs w:val="20"/>
              </w:rPr>
              <w:t>.</w:t>
            </w:r>
          </w:p>
        </w:tc>
      </w:tr>
      <w:tr w:rsidR="00ED220D" w:rsidRPr="00B2211B" w:rsidTr="00ED220D">
        <w:tc>
          <w:tcPr>
            <w:tcW w:w="1350" w:type="dxa"/>
          </w:tcPr>
          <w:p w:rsidR="00ED220D" w:rsidRPr="00B2211B" w:rsidRDefault="00ED220D" w:rsidP="006B5BF4">
            <w:pPr>
              <w:rPr>
                <w:rFonts w:cs="Times New Roman"/>
                <w:sz w:val="20"/>
                <w:szCs w:val="20"/>
              </w:rPr>
            </w:pPr>
          </w:p>
        </w:tc>
        <w:tc>
          <w:tcPr>
            <w:tcW w:w="9090" w:type="dxa"/>
          </w:tcPr>
          <w:p w:rsidR="00ED220D" w:rsidRPr="00B2211B" w:rsidRDefault="00B50F8C" w:rsidP="00E34626">
            <w:pPr>
              <w:ind w:left="-14"/>
              <w:rPr>
                <w:rFonts w:cs="Times New Roman"/>
                <w:sz w:val="20"/>
                <w:szCs w:val="20"/>
              </w:rPr>
            </w:pPr>
            <w:r>
              <w:rPr>
                <w:rFonts w:cs="Times New Roman"/>
                <w:sz w:val="20"/>
                <w:szCs w:val="20"/>
              </w:rPr>
              <w:t xml:space="preserve">2.  </w:t>
            </w:r>
            <w:r w:rsidR="00ED220D" w:rsidRPr="00B2211B">
              <w:rPr>
                <w:rFonts w:cs="Times New Roman"/>
                <w:sz w:val="20"/>
                <w:szCs w:val="20"/>
              </w:rPr>
              <w:t>A thorough, competent, objective, and fair response</w:t>
            </w:r>
            <w:r w:rsidR="00ED220D" w:rsidRPr="007A7F62">
              <w:rPr>
                <w:rFonts w:cs="Times New Roman"/>
                <w:sz w:val="20"/>
                <w:szCs w:val="20"/>
              </w:rPr>
              <w:t>*</w:t>
            </w:r>
            <w:r w:rsidR="00ED220D" w:rsidRPr="00B2211B">
              <w:rPr>
                <w:rFonts w:cs="Times New Roman"/>
                <w:sz w:val="20"/>
                <w:szCs w:val="20"/>
              </w:rPr>
              <w:t xml:space="preserve"> to allegations of research misconduct consistent with and within the time limits</w:t>
            </w:r>
            <w:r w:rsidR="00ED220D">
              <w:rPr>
                <w:rFonts w:cs="Times New Roman"/>
                <w:sz w:val="20"/>
                <w:szCs w:val="20"/>
              </w:rPr>
              <w:t>*</w:t>
            </w:r>
            <w:r w:rsidR="00ED220D" w:rsidRPr="00B2211B">
              <w:rPr>
                <w:rFonts w:cs="Times New Roman"/>
                <w:sz w:val="20"/>
                <w:szCs w:val="20"/>
              </w:rPr>
              <w:t xml:space="preserve">* of 42 C.F.R. Part 93, including precautions to ensure that individuals responsible for carrying out any part of the research misconduct proceeding do not have unresolved personal, professional, or financial conflicts of interest with the </w:t>
            </w:r>
          </w:p>
          <w:p w:rsidR="00ED220D" w:rsidRPr="00B2211B" w:rsidRDefault="002337F4" w:rsidP="00E34626">
            <w:pPr>
              <w:ind w:left="720"/>
              <w:rPr>
                <w:rFonts w:cs="Times New Roman"/>
                <w:sz w:val="20"/>
                <w:szCs w:val="20"/>
              </w:rPr>
            </w:pPr>
            <w:sdt>
              <w:sdtPr>
                <w:rPr>
                  <w:rFonts w:cs="Times New Roman"/>
                  <w:sz w:val="20"/>
                  <w:szCs w:val="20"/>
                </w:rPr>
                <w:id w:val="695580726"/>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Complainant, </w:t>
            </w:r>
          </w:p>
          <w:p w:rsidR="00ED220D" w:rsidRPr="00B2211B" w:rsidRDefault="002337F4" w:rsidP="00E34626">
            <w:pPr>
              <w:ind w:left="720"/>
              <w:rPr>
                <w:rFonts w:cs="Times New Roman"/>
                <w:sz w:val="20"/>
                <w:szCs w:val="20"/>
              </w:rPr>
            </w:pPr>
            <w:sdt>
              <w:sdtPr>
                <w:rPr>
                  <w:rFonts w:cs="Times New Roman"/>
                  <w:sz w:val="20"/>
                  <w:szCs w:val="20"/>
                </w:rPr>
                <w:id w:val="665139114"/>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Respondent, or </w:t>
            </w:r>
          </w:p>
          <w:p w:rsidR="00ED220D" w:rsidRPr="00B2211B" w:rsidRDefault="002337F4" w:rsidP="002454C2">
            <w:pPr>
              <w:ind w:left="720"/>
              <w:rPr>
                <w:rFonts w:cs="Times New Roman"/>
                <w:sz w:val="20"/>
                <w:szCs w:val="20"/>
              </w:rPr>
            </w:pPr>
            <w:sdt>
              <w:sdtPr>
                <w:rPr>
                  <w:rFonts w:cs="Times New Roman"/>
                  <w:sz w:val="20"/>
                  <w:szCs w:val="20"/>
                </w:rPr>
                <w:id w:val="-795759276"/>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Witnesses (§93.304(b)).</w:t>
            </w:r>
          </w:p>
          <w:p w:rsidR="00ED220D" w:rsidRDefault="00ED220D" w:rsidP="00E34626">
            <w:pPr>
              <w:ind w:left="720"/>
              <w:rPr>
                <w:rFonts w:cs="Times New Roman"/>
                <w:b/>
                <w:sz w:val="20"/>
                <w:szCs w:val="20"/>
              </w:rPr>
            </w:pPr>
          </w:p>
          <w:p w:rsidR="00ED220D" w:rsidRPr="00ED220D" w:rsidRDefault="00ED220D" w:rsidP="00E34626">
            <w:pPr>
              <w:ind w:left="720"/>
              <w:rPr>
                <w:rFonts w:cs="Times New Roman"/>
                <w:sz w:val="20"/>
                <w:szCs w:val="20"/>
                <w:u w:val="single"/>
              </w:rPr>
            </w:pPr>
            <w:r w:rsidRPr="00ED220D">
              <w:rPr>
                <w:rFonts w:cs="Times New Roman"/>
                <w:b/>
                <w:sz w:val="20"/>
                <w:szCs w:val="20"/>
                <w:u w:val="single"/>
              </w:rPr>
              <w:t>*</w:t>
            </w:r>
            <w:r w:rsidRPr="00ED220D">
              <w:rPr>
                <w:rFonts w:cs="Times New Roman"/>
                <w:sz w:val="20"/>
                <w:szCs w:val="20"/>
                <w:u w:val="single"/>
              </w:rPr>
              <w:t>Ensuring a fair investigation</w:t>
            </w:r>
          </w:p>
          <w:p w:rsidR="00ED220D" w:rsidRDefault="002337F4" w:rsidP="002454C2">
            <w:pPr>
              <w:ind w:left="972" w:hanging="252"/>
              <w:rPr>
                <w:rFonts w:cs="Times New Roman"/>
                <w:b/>
                <w:sz w:val="20"/>
                <w:szCs w:val="20"/>
                <w:u w:val="single"/>
              </w:rPr>
            </w:pPr>
            <w:sdt>
              <w:sdtPr>
                <w:rPr>
                  <w:rFonts w:cs="Times New Roman"/>
                  <w:sz w:val="20"/>
                  <w:szCs w:val="20"/>
                </w:rPr>
                <w:id w:val="775758012"/>
                <w14:checkbox>
                  <w14:checked w14:val="0"/>
                  <w14:checkedState w14:val="2612" w14:font="MS Gothic"/>
                  <w14:uncheckedState w14:val="2610" w14:font="MS Gothic"/>
                </w14:checkbox>
              </w:sdtPr>
              <w:sdtEndPr/>
              <w:sdtContent>
                <w:r w:rsidR="00ED220D" w:rsidRPr="00ED220D">
                  <w:rPr>
                    <w:rFonts w:ascii="MS Gothic" w:eastAsia="MS Gothic" w:hAnsi="MS Gothic" w:cs="Times New Roman" w:hint="eastAsia"/>
                    <w:sz w:val="20"/>
                    <w:szCs w:val="20"/>
                  </w:rPr>
                  <w:t>☐</w:t>
                </w:r>
              </w:sdtContent>
            </w:sdt>
            <w:r w:rsidR="00ED220D" w:rsidRPr="00ED220D">
              <w:rPr>
                <w:rFonts w:cs="Times New Roman"/>
                <w:sz w:val="20"/>
                <w:szCs w:val="20"/>
              </w:rPr>
              <w:t xml:space="preserve"> Take reasonable steps to ensure an impartial and unbiased investigation to the maximum extent practicable, including participation of persons with appropriate scientific expertise who do not have unresolved personal, professional, or financial conflicts of interest with those involved with the inquiry or investigation (§93.310(f)).</w:t>
            </w:r>
            <w:r w:rsidR="00ED220D" w:rsidRPr="00D864F7">
              <w:rPr>
                <w:rFonts w:cs="Times New Roman"/>
                <w:sz w:val="20"/>
                <w:szCs w:val="20"/>
              </w:rPr>
              <w:t xml:space="preserve"> </w:t>
            </w:r>
          </w:p>
          <w:p w:rsidR="00ED220D" w:rsidRPr="004F052D" w:rsidRDefault="00ED220D" w:rsidP="00E34626">
            <w:pPr>
              <w:ind w:left="720"/>
              <w:rPr>
                <w:rFonts w:cs="Times New Roman"/>
                <w:b/>
                <w:sz w:val="20"/>
                <w:szCs w:val="20"/>
                <w:u w:val="single"/>
              </w:rPr>
            </w:pPr>
          </w:p>
          <w:p w:rsidR="00ED220D" w:rsidRPr="00B2211B" w:rsidRDefault="00ED220D" w:rsidP="00E34626">
            <w:pPr>
              <w:ind w:left="720"/>
              <w:rPr>
                <w:rFonts w:cs="Times New Roman"/>
                <w:sz w:val="20"/>
                <w:szCs w:val="20"/>
                <w:u w:val="single"/>
              </w:rPr>
            </w:pPr>
            <w:r>
              <w:rPr>
                <w:rFonts w:cs="Times New Roman"/>
                <w:sz w:val="20"/>
                <w:szCs w:val="20"/>
              </w:rPr>
              <w:t>*</w:t>
            </w:r>
            <w:r w:rsidRPr="00B2211B">
              <w:rPr>
                <w:rFonts w:cs="Times New Roman"/>
                <w:sz w:val="20"/>
                <w:szCs w:val="20"/>
              </w:rPr>
              <w:t xml:space="preserve">* </w:t>
            </w:r>
            <w:r w:rsidRPr="00B2211B">
              <w:rPr>
                <w:rFonts w:cs="Times New Roman"/>
                <w:sz w:val="20"/>
                <w:szCs w:val="20"/>
                <w:u w:val="single"/>
              </w:rPr>
              <w:t>Time Limits</w:t>
            </w:r>
          </w:p>
          <w:p w:rsidR="00ED220D" w:rsidRPr="00B2211B" w:rsidRDefault="002337F4" w:rsidP="00091374">
            <w:pPr>
              <w:ind w:left="972" w:hanging="252"/>
              <w:rPr>
                <w:rFonts w:cs="Times New Roman"/>
                <w:sz w:val="20"/>
                <w:szCs w:val="20"/>
              </w:rPr>
            </w:pPr>
            <w:sdt>
              <w:sdtPr>
                <w:rPr>
                  <w:rFonts w:cs="Times New Roman"/>
                  <w:sz w:val="20"/>
                  <w:szCs w:val="20"/>
                </w:rPr>
                <w:id w:val="-1985993872"/>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The institution must complete the inquiry within 60 calendar days of its initiation unless circumstances clearly warrant a longer period. If the inquiry takes longer than 60 days to complete, the inquiry record must include documentation of the reasons for exceeding the 60-day period ((§93.307(g))</w:t>
            </w:r>
          </w:p>
          <w:p w:rsidR="00ED220D" w:rsidRPr="00B2211B" w:rsidRDefault="002337F4" w:rsidP="00091374">
            <w:pPr>
              <w:ind w:left="972" w:hanging="252"/>
              <w:rPr>
                <w:rFonts w:cs="Times New Roman"/>
                <w:sz w:val="20"/>
                <w:szCs w:val="20"/>
              </w:rPr>
            </w:pPr>
            <w:sdt>
              <w:sdtPr>
                <w:rPr>
                  <w:rFonts w:cs="Times New Roman"/>
                  <w:sz w:val="20"/>
                  <w:szCs w:val="20"/>
                </w:rPr>
                <w:id w:val="-1844008242"/>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Within 30 days of finding that an investigation is warranted, provide ORI with the written finding by the responsible institutional official and a copy of the inquiry report (93.309(a))</w:t>
            </w:r>
          </w:p>
          <w:p w:rsidR="00ED220D" w:rsidRPr="00B2211B" w:rsidRDefault="002337F4" w:rsidP="00091374">
            <w:pPr>
              <w:ind w:left="972" w:hanging="252"/>
              <w:rPr>
                <w:rFonts w:cs="Times New Roman"/>
                <w:sz w:val="20"/>
                <w:szCs w:val="20"/>
              </w:rPr>
            </w:pPr>
            <w:sdt>
              <w:sdtPr>
                <w:rPr>
                  <w:rFonts w:cs="Times New Roman"/>
                  <w:sz w:val="20"/>
                  <w:szCs w:val="20"/>
                </w:rPr>
                <w:id w:val="-1312782041"/>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w:t>
            </w:r>
            <w:r w:rsidR="00ED220D" w:rsidRPr="00B2211B">
              <w:rPr>
                <w:sz w:val="20"/>
                <w:szCs w:val="20"/>
              </w:rPr>
              <w:t>Begin the investigation within 30 days after determining that an investigation is warranted</w:t>
            </w:r>
            <w:r w:rsidR="00ED220D" w:rsidRPr="00B2211B" w:rsidDel="00D44FAE">
              <w:rPr>
                <w:sz w:val="20"/>
                <w:szCs w:val="20"/>
              </w:rPr>
              <w:t xml:space="preserve"> </w:t>
            </w:r>
            <w:r w:rsidR="00ED220D" w:rsidRPr="00B2211B">
              <w:rPr>
                <w:sz w:val="20"/>
                <w:szCs w:val="20"/>
              </w:rPr>
              <w:t>(§93.310(a))</w:t>
            </w:r>
          </w:p>
          <w:p w:rsidR="00ED220D" w:rsidRPr="00B2211B" w:rsidRDefault="002337F4" w:rsidP="00091374">
            <w:pPr>
              <w:ind w:left="972" w:hanging="252"/>
              <w:rPr>
                <w:rFonts w:cs="Times New Roman"/>
                <w:sz w:val="20"/>
                <w:szCs w:val="20"/>
              </w:rPr>
            </w:pPr>
            <w:sdt>
              <w:sdtPr>
                <w:rPr>
                  <w:rFonts w:cs="Times New Roman"/>
                  <w:sz w:val="20"/>
                  <w:szCs w:val="20"/>
                </w:rPr>
                <w:id w:val="-1913763749"/>
                <w14:checkbox>
                  <w14:checked w14:val="0"/>
                  <w14:checkedState w14:val="2612" w14:font="MS Gothic"/>
                  <w14:uncheckedState w14:val="2610" w14:font="MS Gothic"/>
                </w14:checkbox>
              </w:sdtPr>
              <w:sdtEndPr/>
              <w:sdtContent>
                <w:r w:rsidR="00065EE2">
                  <w:rPr>
                    <w:rFonts w:ascii="MS Gothic" w:eastAsia="MS Gothic" w:hAnsi="MS Gothic" w:cs="Times New Roman" w:hint="eastAsia"/>
                    <w:sz w:val="20"/>
                    <w:szCs w:val="20"/>
                  </w:rPr>
                  <w:t>☐</w:t>
                </w:r>
              </w:sdtContent>
            </w:sdt>
            <w:r w:rsidR="00ED220D" w:rsidRPr="00B2211B">
              <w:rPr>
                <w:rFonts w:cs="Times New Roman"/>
                <w:sz w:val="20"/>
                <w:szCs w:val="20"/>
              </w:rPr>
              <w:t xml:space="preserve"> An institution must complete all aspects of an investigation within 120 days of beginning it, including conducting the investigation, preparing the report of findings, providing the draft report for comment in accordance with Sec. 93.312, and sending the final report to ORI under Sec.  93.315. (93.311(a))</w:t>
            </w:r>
          </w:p>
          <w:p w:rsidR="00ED220D" w:rsidRPr="00B2211B" w:rsidRDefault="00ED220D" w:rsidP="009B039F">
            <w:pPr>
              <w:ind w:left="720"/>
              <w:rPr>
                <w:rFonts w:cs="Times New Roman"/>
                <w:b/>
                <w:sz w:val="20"/>
                <w:szCs w:val="20"/>
              </w:rPr>
            </w:pPr>
          </w:p>
        </w:tc>
      </w:tr>
      <w:tr w:rsidR="00ED220D" w:rsidRPr="00B2211B" w:rsidTr="00ED220D">
        <w:tc>
          <w:tcPr>
            <w:tcW w:w="1350" w:type="dxa"/>
          </w:tcPr>
          <w:p w:rsidR="00ED220D" w:rsidRPr="00B2211B" w:rsidRDefault="00ED220D" w:rsidP="00A07023">
            <w:pPr>
              <w:rPr>
                <w:rFonts w:cs="Times New Roman"/>
                <w:sz w:val="20"/>
                <w:szCs w:val="20"/>
              </w:rPr>
            </w:pPr>
          </w:p>
        </w:tc>
        <w:tc>
          <w:tcPr>
            <w:tcW w:w="9090" w:type="dxa"/>
          </w:tcPr>
          <w:p w:rsidR="00ED220D" w:rsidRPr="00B2211B" w:rsidRDefault="00B50F8C" w:rsidP="006F1F54">
            <w:pPr>
              <w:ind w:left="-14"/>
              <w:rPr>
                <w:rFonts w:cs="Times New Roman"/>
                <w:sz w:val="20"/>
                <w:szCs w:val="20"/>
              </w:rPr>
            </w:pPr>
            <w:r>
              <w:rPr>
                <w:rFonts w:cs="Times New Roman"/>
                <w:sz w:val="20"/>
                <w:szCs w:val="20"/>
              </w:rPr>
              <w:t xml:space="preserve">3.  </w:t>
            </w:r>
            <w:r w:rsidR="00ED220D" w:rsidRPr="00B2211B">
              <w:rPr>
                <w:rFonts w:cs="Times New Roman"/>
                <w:sz w:val="20"/>
                <w:szCs w:val="20"/>
              </w:rPr>
              <w:t>Written notice to the respondent(s), consistent with and within the time limits of this part (§93.304(c))</w:t>
            </w:r>
          </w:p>
          <w:p w:rsidR="00ED220D" w:rsidRPr="00B2211B" w:rsidRDefault="002337F4" w:rsidP="00091374">
            <w:pPr>
              <w:ind w:left="972" w:hanging="252"/>
              <w:rPr>
                <w:rFonts w:cs="Times New Roman"/>
                <w:sz w:val="20"/>
                <w:szCs w:val="20"/>
              </w:rPr>
            </w:pPr>
            <w:sdt>
              <w:sdtPr>
                <w:rPr>
                  <w:rFonts w:cs="Times New Roman"/>
                  <w:sz w:val="20"/>
                  <w:szCs w:val="20"/>
                </w:rPr>
                <w:id w:val="396483088"/>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At the time of or before beginning an inquiry, an institution must make a good faith effort to notify in writing the presumed respondent, if any (§93.307(b))</w:t>
            </w:r>
          </w:p>
          <w:p w:rsidR="00ED220D" w:rsidRPr="00B2211B" w:rsidRDefault="002337F4" w:rsidP="00091374">
            <w:pPr>
              <w:ind w:left="972" w:hanging="252"/>
              <w:rPr>
                <w:rFonts w:cs="Times New Roman"/>
                <w:sz w:val="20"/>
                <w:szCs w:val="20"/>
              </w:rPr>
            </w:pPr>
            <w:sdt>
              <w:sdtPr>
                <w:rPr>
                  <w:rFonts w:cs="Times New Roman"/>
                  <w:sz w:val="20"/>
                  <w:szCs w:val="20"/>
                </w:rPr>
                <w:id w:val="1155032554"/>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If the inquiry subsequently identifies additional respondents, the institution must notify them (§93.307(b))</w:t>
            </w:r>
          </w:p>
          <w:p w:rsidR="00ED220D" w:rsidRPr="00B2211B" w:rsidRDefault="002337F4" w:rsidP="00091374">
            <w:pPr>
              <w:ind w:left="972" w:hanging="252"/>
              <w:rPr>
                <w:rFonts w:cs="Times New Roman"/>
                <w:sz w:val="20"/>
                <w:szCs w:val="20"/>
              </w:rPr>
            </w:pPr>
            <w:sdt>
              <w:sdtPr>
                <w:rPr>
                  <w:rFonts w:cs="Times New Roman"/>
                  <w:sz w:val="20"/>
                  <w:szCs w:val="20"/>
                </w:rPr>
                <w:id w:val="-2052996043"/>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The institution must notify the respondent whether the inquiry found that an investigation is warranted. The notice must include a copy of the inquiry report and include a copy of or refer to this part and the institution's policies and procedures adopted under its assurance. (§93.308(a)) </w:t>
            </w:r>
          </w:p>
          <w:p w:rsidR="00ED220D" w:rsidRDefault="002337F4" w:rsidP="006B5BF4">
            <w:pPr>
              <w:ind w:left="972" w:hanging="252"/>
              <w:rPr>
                <w:rFonts w:cs="Times New Roman"/>
                <w:sz w:val="20"/>
                <w:szCs w:val="20"/>
              </w:rPr>
            </w:pPr>
            <w:sdt>
              <w:sdtPr>
                <w:rPr>
                  <w:rFonts w:cs="Times New Roman"/>
                  <w:sz w:val="20"/>
                  <w:szCs w:val="20"/>
                </w:rPr>
                <w:id w:val="1094746377"/>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Notify the respondent in writing of the allegations within a reasonable amount of time after determining that an investigation is warranted, but before the investigation begins. </w:t>
            </w:r>
            <w:r w:rsidR="00ED220D" w:rsidRPr="00412EF8">
              <w:rPr>
                <w:rFonts w:cs="Times New Roman"/>
                <w:sz w:val="20"/>
                <w:szCs w:val="20"/>
              </w:rPr>
              <w:t xml:space="preserve">The </w:t>
            </w:r>
            <w:r w:rsidR="00ED220D" w:rsidRPr="00412EF8">
              <w:rPr>
                <w:rFonts w:cs="Times New Roman"/>
                <w:sz w:val="20"/>
                <w:szCs w:val="20"/>
              </w:rPr>
              <w:lastRenderedPageBreak/>
              <w:t>institution must give the respondent</w:t>
            </w:r>
            <w:r w:rsidR="00ED220D" w:rsidRPr="00412EF8">
              <w:rPr>
                <w:rFonts w:cs="Times New Roman"/>
                <w:sz w:val="20"/>
                <w:szCs w:val="20"/>
              </w:rPr>
              <w:br/>
              <w:t xml:space="preserve">written notice of any new allegations of research misconduct within a reasonable amount of time of deciding to pursue allegations not addressed during the inquiry or in the initial notice of investigation </w:t>
            </w:r>
            <w:r w:rsidR="00ED220D" w:rsidRPr="00B2211B">
              <w:rPr>
                <w:rFonts w:cs="Times New Roman"/>
                <w:sz w:val="20"/>
                <w:szCs w:val="20"/>
              </w:rPr>
              <w:t>(93.310(c))</w:t>
            </w:r>
          </w:p>
          <w:p w:rsidR="00ED220D" w:rsidRPr="00490BA6" w:rsidRDefault="00ED220D" w:rsidP="006B5BF4">
            <w:pPr>
              <w:ind w:left="972" w:hanging="252"/>
              <w:rPr>
                <w:rFonts w:cs="Times New Roman"/>
                <w:b/>
                <w:sz w:val="20"/>
                <w:szCs w:val="20"/>
              </w:rPr>
            </w:pPr>
          </w:p>
        </w:tc>
      </w:tr>
      <w:tr w:rsidR="00ED220D" w:rsidRPr="00B2211B" w:rsidTr="00ED220D">
        <w:tc>
          <w:tcPr>
            <w:tcW w:w="1350" w:type="dxa"/>
          </w:tcPr>
          <w:p w:rsidR="00ED220D" w:rsidRPr="00B2211B" w:rsidRDefault="00ED220D" w:rsidP="00C375BC">
            <w:pPr>
              <w:ind w:left="-14"/>
              <w:rPr>
                <w:rFonts w:cs="Times New Roman"/>
                <w:sz w:val="20"/>
                <w:szCs w:val="20"/>
              </w:rPr>
            </w:pPr>
          </w:p>
        </w:tc>
        <w:tc>
          <w:tcPr>
            <w:tcW w:w="9090" w:type="dxa"/>
          </w:tcPr>
          <w:p w:rsidR="00ED220D" w:rsidRPr="00B2211B" w:rsidRDefault="00B50F8C" w:rsidP="00E5730D">
            <w:pPr>
              <w:ind w:left="-14"/>
              <w:rPr>
                <w:rFonts w:cs="Times New Roman"/>
                <w:sz w:val="20"/>
                <w:szCs w:val="20"/>
              </w:rPr>
            </w:pPr>
            <w:r>
              <w:rPr>
                <w:rFonts w:cs="Times New Roman"/>
                <w:sz w:val="20"/>
                <w:szCs w:val="20"/>
              </w:rPr>
              <w:t xml:space="preserve">4.  </w:t>
            </w:r>
            <w:r w:rsidR="00ED220D" w:rsidRPr="00B2211B">
              <w:rPr>
                <w:rFonts w:cs="Times New Roman"/>
                <w:sz w:val="20"/>
                <w:szCs w:val="20"/>
              </w:rPr>
              <w:t>Written notice to ORI of any decision to open an investigation on or before the date on which the investigation begins (§93.304(d))</w:t>
            </w:r>
          </w:p>
        </w:tc>
      </w:tr>
      <w:tr w:rsidR="00ED220D" w:rsidRPr="00B2211B" w:rsidTr="00ED220D">
        <w:tc>
          <w:tcPr>
            <w:tcW w:w="1350" w:type="dxa"/>
          </w:tcPr>
          <w:p w:rsidR="00ED220D" w:rsidRPr="00B2211B" w:rsidRDefault="00ED220D" w:rsidP="00C375BC">
            <w:pPr>
              <w:ind w:left="-14"/>
              <w:rPr>
                <w:rFonts w:cs="Times New Roman"/>
                <w:sz w:val="20"/>
                <w:szCs w:val="20"/>
              </w:rPr>
            </w:pPr>
          </w:p>
        </w:tc>
        <w:tc>
          <w:tcPr>
            <w:tcW w:w="9090" w:type="dxa"/>
          </w:tcPr>
          <w:p w:rsidR="00ED220D" w:rsidRPr="00B2211B" w:rsidRDefault="00B50F8C" w:rsidP="003504F8">
            <w:pPr>
              <w:ind w:left="-14"/>
              <w:rPr>
                <w:rFonts w:cs="Times New Roman"/>
                <w:sz w:val="20"/>
                <w:szCs w:val="20"/>
              </w:rPr>
            </w:pPr>
            <w:r>
              <w:rPr>
                <w:rFonts w:cs="Times New Roman"/>
                <w:sz w:val="20"/>
                <w:szCs w:val="20"/>
              </w:rPr>
              <w:t xml:space="preserve">5.  </w:t>
            </w:r>
            <w:r w:rsidR="00ED220D" w:rsidRPr="00B2211B">
              <w:rPr>
                <w:rFonts w:cs="Times New Roman"/>
                <w:sz w:val="20"/>
                <w:szCs w:val="20"/>
              </w:rPr>
              <w:t>Opportunity for the respondent to provide written comments on the institution's inquiry report (§93.304(e))</w:t>
            </w:r>
          </w:p>
        </w:tc>
      </w:tr>
      <w:tr w:rsidR="00ED220D" w:rsidRPr="00B2211B" w:rsidTr="00ED220D">
        <w:tc>
          <w:tcPr>
            <w:tcW w:w="1350" w:type="dxa"/>
          </w:tcPr>
          <w:p w:rsidR="00ED220D" w:rsidRPr="00B2211B" w:rsidRDefault="00ED220D" w:rsidP="003504F8">
            <w:pPr>
              <w:ind w:left="-14"/>
              <w:rPr>
                <w:rFonts w:cs="Times New Roman"/>
                <w:sz w:val="20"/>
                <w:szCs w:val="20"/>
              </w:rPr>
            </w:pPr>
          </w:p>
        </w:tc>
        <w:tc>
          <w:tcPr>
            <w:tcW w:w="9090" w:type="dxa"/>
          </w:tcPr>
          <w:p w:rsidR="00ED220D" w:rsidRPr="00B2211B" w:rsidRDefault="00B50F8C" w:rsidP="00E97B2E">
            <w:pPr>
              <w:ind w:left="-14"/>
              <w:rPr>
                <w:rFonts w:cs="Times New Roman"/>
                <w:sz w:val="20"/>
                <w:szCs w:val="20"/>
              </w:rPr>
            </w:pPr>
            <w:r>
              <w:rPr>
                <w:rFonts w:cs="Times New Roman"/>
                <w:sz w:val="20"/>
                <w:szCs w:val="20"/>
              </w:rPr>
              <w:t xml:space="preserve">6.  </w:t>
            </w:r>
            <w:r w:rsidR="00ED220D" w:rsidRPr="00B2211B">
              <w:rPr>
                <w:rFonts w:cs="Times New Roman"/>
                <w:sz w:val="20"/>
                <w:szCs w:val="20"/>
              </w:rPr>
              <w:t>Respondent comments (§93.304(f))</w:t>
            </w:r>
          </w:p>
          <w:p w:rsidR="00ED220D" w:rsidRPr="00B2211B" w:rsidRDefault="002337F4" w:rsidP="00091374">
            <w:pPr>
              <w:ind w:left="972" w:hanging="252"/>
              <w:rPr>
                <w:rFonts w:cs="Times New Roman"/>
                <w:sz w:val="20"/>
                <w:szCs w:val="20"/>
              </w:rPr>
            </w:pPr>
            <w:sdt>
              <w:sdtPr>
                <w:rPr>
                  <w:rFonts w:cs="Times New Roman"/>
                  <w:sz w:val="20"/>
                  <w:szCs w:val="20"/>
                </w:rPr>
                <w:id w:val="2100373440"/>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Opportunity for the respondent to provide written comments on the draft report of the investigation, and </w:t>
            </w:r>
          </w:p>
          <w:p w:rsidR="00ED220D" w:rsidRPr="00B2211B" w:rsidRDefault="002337F4" w:rsidP="00091374">
            <w:pPr>
              <w:ind w:left="972" w:hanging="252"/>
              <w:rPr>
                <w:rFonts w:cs="Times New Roman"/>
                <w:sz w:val="20"/>
                <w:szCs w:val="20"/>
              </w:rPr>
            </w:pPr>
            <w:sdt>
              <w:sdtPr>
                <w:rPr>
                  <w:rFonts w:cs="Times New Roman"/>
                  <w:sz w:val="20"/>
                  <w:szCs w:val="20"/>
                </w:rPr>
                <w:id w:val="-556241785"/>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Provisions for the institutional investigation committee to consider and address the comments before issuing the final report </w:t>
            </w:r>
          </w:p>
        </w:tc>
      </w:tr>
      <w:tr w:rsidR="00ED220D" w:rsidRPr="00B2211B" w:rsidTr="00ED220D">
        <w:tc>
          <w:tcPr>
            <w:tcW w:w="1350" w:type="dxa"/>
          </w:tcPr>
          <w:p w:rsidR="00ED220D" w:rsidRPr="00B2211B" w:rsidRDefault="00ED220D" w:rsidP="003504F8">
            <w:pPr>
              <w:ind w:left="-14"/>
              <w:rPr>
                <w:rFonts w:cs="Times New Roman"/>
                <w:sz w:val="20"/>
                <w:szCs w:val="20"/>
              </w:rPr>
            </w:pPr>
          </w:p>
        </w:tc>
        <w:tc>
          <w:tcPr>
            <w:tcW w:w="9090" w:type="dxa"/>
          </w:tcPr>
          <w:p w:rsidR="00ED220D" w:rsidRPr="00B2211B" w:rsidRDefault="00B50F8C" w:rsidP="003504F8">
            <w:pPr>
              <w:tabs>
                <w:tab w:val="left" w:pos="1302"/>
              </w:tabs>
              <w:ind w:left="-14"/>
              <w:rPr>
                <w:rFonts w:cs="Times New Roman"/>
                <w:sz w:val="20"/>
                <w:szCs w:val="20"/>
              </w:rPr>
            </w:pPr>
            <w:r>
              <w:rPr>
                <w:rFonts w:cs="Times New Roman"/>
                <w:sz w:val="20"/>
                <w:szCs w:val="20"/>
              </w:rPr>
              <w:t xml:space="preserve">7.  </w:t>
            </w:r>
            <w:r w:rsidR="00ED220D" w:rsidRPr="00B2211B">
              <w:rPr>
                <w:rFonts w:cs="Times New Roman"/>
                <w:sz w:val="20"/>
                <w:szCs w:val="20"/>
              </w:rPr>
              <w:t>Protocols for handling the research record and evidence, including the requirements of Sec.  93.305 (§93.304(g))</w:t>
            </w:r>
          </w:p>
        </w:tc>
      </w:tr>
      <w:tr w:rsidR="00ED220D" w:rsidRPr="00B2211B" w:rsidTr="00ED220D">
        <w:tc>
          <w:tcPr>
            <w:tcW w:w="1350" w:type="dxa"/>
          </w:tcPr>
          <w:p w:rsidR="00ED220D" w:rsidRPr="00B2211B" w:rsidRDefault="00ED220D" w:rsidP="003504F8">
            <w:pPr>
              <w:ind w:left="-14"/>
              <w:rPr>
                <w:rFonts w:cs="Times New Roman"/>
                <w:sz w:val="20"/>
                <w:szCs w:val="20"/>
              </w:rPr>
            </w:pPr>
          </w:p>
        </w:tc>
        <w:tc>
          <w:tcPr>
            <w:tcW w:w="9090" w:type="dxa"/>
          </w:tcPr>
          <w:p w:rsidR="00ED220D" w:rsidRPr="00B2211B" w:rsidRDefault="00B50F8C" w:rsidP="003504F8">
            <w:pPr>
              <w:ind w:left="-14"/>
              <w:rPr>
                <w:rFonts w:cs="Times New Roman"/>
                <w:sz w:val="20"/>
                <w:szCs w:val="20"/>
              </w:rPr>
            </w:pPr>
            <w:r>
              <w:rPr>
                <w:rFonts w:cs="Times New Roman"/>
                <w:sz w:val="20"/>
                <w:szCs w:val="20"/>
              </w:rPr>
              <w:t xml:space="preserve">8.  </w:t>
            </w:r>
            <w:r w:rsidR="00ED220D" w:rsidRPr="00B2211B">
              <w:rPr>
                <w:rFonts w:cs="Times New Roman"/>
                <w:sz w:val="20"/>
                <w:szCs w:val="20"/>
              </w:rPr>
              <w:t>Appropriate interim institutional actions to protect public health, Federal funds and equipment, and the integrity of the PHS-supported research process (§93.304(h))</w:t>
            </w:r>
          </w:p>
        </w:tc>
      </w:tr>
      <w:tr w:rsidR="00ED220D" w:rsidRPr="00B2211B" w:rsidTr="00ED220D">
        <w:tc>
          <w:tcPr>
            <w:tcW w:w="1350" w:type="dxa"/>
          </w:tcPr>
          <w:p w:rsidR="00ED220D" w:rsidRPr="00B2211B" w:rsidRDefault="00ED220D" w:rsidP="003504F8">
            <w:pPr>
              <w:ind w:left="-14"/>
              <w:rPr>
                <w:rFonts w:cs="Times New Roman"/>
                <w:sz w:val="20"/>
                <w:szCs w:val="20"/>
              </w:rPr>
            </w:pPr>
          </w:p>
        </w:tc>
        <w:tc>
          <w:tcPr>
            <w:tcW w:w="9090" w:type="dxa"/>
          </w:tcPr>
          <w:p w:rsidR="00ED220D" w:rsidRPr="00B2211B" w:rsidRDefault="00B50F8C" w:rsidP="003504F8">
            <w:pPr>
              <w:ind w:left="-14"/>
              <w:rPr>
                <w:rFonts w:cs="Times New Roman"/>
                <w:sz w:val="20"/>
                <w:szCs w:val="20"/>
              </w:rPr>
            </w:pPr>
            <w:r>
              <w:rPr>
                <w:rFonts w:cs="Times New Roman"/>
                <w:sz w:val="20"/>
                <w:szCs w:val="20"/>
              </w:rPr>
              <w:t xml:space="preserve">9.  </w:t>
            </w:r>
            <w:r w:rsidR="00ED220D" w:rsidRPr="00B2211B">
              <w:rPr>
                <w:rFonts w:cs="Times New Roman"/>
                <w:sz w:val="20"/>
                <w:szCs w:val="20"/>
              </w:rPr>
              <w:t>Notice to ORI under Sec.  93.318 and notice of any facts that may be relevant to protect public health, Federal funds and equipment, and the integrity of the PHS supported research process (§93.304(i))</w:t>
            </w:r>
          </w:p>
        </w:tc>
      </w:tr>
      <w:tr w:rsidR="00ED220D" w:rsidRPr="00B2211B" w:rsidTr="00ED220D">
        <w:tc>
          <w:tcPr>
            <w:tcW w:w="1350" w:type="dxa"/>
          </w:tcPr>
          <w:p w:rsidR="00ED220D" w:rsidRPr="00B2211B" w:rsidRDefault="00ED220D" w:rsidP="001F187C">
            <w:pPr>
              <w:ind w:left="-14"/>
              <w:rPr>
                <w:rFonts w:cs="Times New Roman"/>
                <w:sz w:val="20"/>
                <w:szCs w:val="20"/>
              </w:rPr>
            </w:pPr>
          </w:p>
        </w:tc>
        <w:tc>
          <w:tcPr>
            <w:tcW w:w="9090" w:type="dxa"/>
          </w:tcPr>
          <w:p w:rsidR="00ED220D" w:rsidRPr="00B2211B" w:rsidRDefault="00B50F8C" w:rsidP="003504F8">
            <w:pPr>
              <w:ind w:left="-14"/>
              <w:rPr>
                <w:rFonts w:cs="Times New Roman"/>
                <w:sz w:val="20"/>
                <w:szCs w:val="20"/>
              </w:rPr>
            </w:pPr>
            <w:r>
              <w:rPr>
                <w:rFonts w:cs="Times New Roman"/>
                <w:sz w:val="20"/>
                <w:szCs w:val="20"/>
              </w:rPr>
              <w:t xml:space="preserve">10.  </w:t>
            </w:r>
            <w:r w:rsidR="00ED220D" w:rsidRPr="00B2211B">
              <w:rPr>
                <w:rFonts w:cs="Times New Roman"/>
                <w:sz w:val="20"/>
                <w:szCs w:val="20"/>
              </w:rPr>
              <w:t>Institutional actions in response to final findings of research misconduct  (§93.304(j))</w:t>
            </w:r>
          </w:p>
          <w:p w:rsidR="00ED220D" w:rsidRPr="001F187C" w:rsidRDefault="00ED220D" w:rsidP="003504F8">
            <w:pPr>
              <w:ind w:left="-14"/>
              <w:rPr>
                <w:rFonts w:cs="Times New Roman"/>
                <w:b/>
                <w:sz w:val="20"/>
                <w:szCs w:val="20"/>
              </w:rPr>
            </w:pPr>
          </w:p>
        </w:tc>
      </w:tr>
      <w:tr w:rsidR="00ED220D" w:rsidRPr="00B2211B" w:rsidTr="00ED220D">
        <w:tc>
          <w:tcPr>
            <w:tcW w:w="1350" w:type="dxa"/>
          </w:tcPr>
          <w:p w:rsidR="00ED220D" w:rsidRPr="00B2211B" w:rsidRDefault="00ED220D" w:rsidP="003504F8">
            <w:pPr>
              <w:ind w:left="-14"/>
              <w:rPr>
                <w:rFonts w:cs="Times New Roman"/>
                <w:sz w:val="20"/>
                <w:szCs w:val="20"/>
              </w:rPr>
            </w:pPr>
          </w:p>
        </w:tc>
        <w:tc>
          <w:tcPr>
            <w:tcW w:w="9090" w:type="dxa"/>
          </w:tcPr>
          <w:p w:rsidR="00ED220D" w:rsidRPr="00B2211B" w:rsidRDefault="00B50F8C" w:rsidP="003504F8">
            <w:pPr>
              <w:ind w:left="-14"/>
              <w:rPr>
                <w:rFonts w:cs="Times New Roman"/>
                <w:sz w:val="20"/>
                <w:szCs w:val="20"/>
              </w:rPr>
            </w:pPr>
            <w:r>
              <w:rPr>
                <w:rFonts w:cs="Times New Roman"/>
                <w:sz w:val="20"/>
                <w:szCs w:val="20"/>
              </w:rPr>
              <w:t xml:space="preserve">11.  </w:t>
            </w:r>
            <w:r w:rsidR="00ED220D" w:rsidRPr="00B2211B">
              <w:rPr>
                <w:rFonts w:cs="Times New Roman"/>
                <w:sz w:val="20"/>
                <w:szCs w:val="20"/>
              </w:rPr>
              <w:t>All reasonable and practical efforts, if requested and as appropriate, to protect or restore the reputation of persons alleged to have engaged in research misconduct but against whom no finding of research misconduct is made (§93.304(k))</w:t>
            </w:r>
          </w:p>
        </w:tc>
      </w:tr>
      <w:tr w:rsidR="00ED220D" w:rsidRPr="00B2211B" w:rsidTr="00ED220D">
        <w:tc>
          <w:tcPr>
            <w:tcW w:w="1350" w:type="dxa"/>
          </w:tcPr>
          <w:p w:rsidR="00ED220D" w:rsidRPr="00B2211B" w:rsidRDefault="00ED220D" w:rsidP="003504F8">
            <w:pPr>
              <w:ind w:left="-14"/>
              <w:rPr>
                <w:rFonts w:cs="Times New Roman"/>
                <w:sz w:val="20"/>
                <w:szCs w:val="20"/>
              </w:rPr>
            </w:pPr>
          </w:p>
        </w:tc>
        <w:tc>
          <w:tcPr>
            <w:tcW w:w="9090" w:type="dxa"/>
          </w:tcPr>
          <w:p w:rsidR="00ED220D" w:rsidRPr="00B2211B" w:rsidRDefault="00B50F8C" w:rsidP="00412EF8">
            <w:pPr>
              <w:ind w:left="-14"/>
              <w:rPr>
                <w:rFonts w:cs="Times New Roman"/>
                <w:sz w:val="20"/>
                <w:szCs w:val="20"/>
              </w:rPr>
            </w:pPr>
            <w:r>
              <w:rPr>
                <w:rFonts w:cs="Times New Roman"/>
                <w:sz w:val="20"/>
                <w:szCs w:val="20"/>
              </w:rPr>
              <w:t xml:space="preserve">12.  </w:t>
            </w:r>
            <w:r w:rsidR="00ED220D" w:rsidRPr="00B2211B">
              <w:rPr>
                <w:rFonts w:cs="Times New Roman"/>
                <w:sz w:val="20"/>
                <w:szCs w:val="20"/>
              </w:rPr>
              <w:t>All reasonable and practical efforts to protect or restore the position and reputation of any complainant, witness, or committee member and to counter potential or actual retaliation against these complainants, witnesses, and committee members  (§93.304(l))</w:t>
            </w:r>
            <w:bookmarkStart w:id="0" w:name="_GoBack"/>
            <w:bookmarkEnd w:id="0"/>
          </w:p>
        </w:tc>
      </w:tr>
      <w:tr w:rsidR="00ED220D" w:rsidRPr="00B2211B" w:rsidTr="00ED220D">
        <w:tc>
          <w:tcPr>
            <w:tcW w:w="1350" w:type="dxa"/>
          </w:tcPr>
          <w:p w:rsidR="00ED220D" w:rsidRPr="00B2211B" w:rsidRDefault="00ED220D" w:rsidP="003504F8">
            <w:pPr>
              <w:ind w:left="-14"/>
              <w:rPr>
                <w:rFonts w:cs="Times New Roman"/>
                <w:sz w:val="20"/>
                <w:szCs w:val="20"/>
              </w:rPr>
            </w:pPr>
          </w:p>
        </w:tc>
        <w:tc>
          <w:tcPr>
            <w:tcW w:w="9090" w:type="dxa"/>
          </w:tcPr>
          <w:p w:rsidR="00ED220D" w:rsidRPr="00B2211B" w:rsidRDefault="00B50F8C" w:rsidP="00C00539">
            <w:pPr>
              <w:ind w:left="-14"/>
              <w:rPr>
                <w:rFonts w:cs="Times New Roman"/>
                <w:sz w:val="20"/>
                <w:szCs w:val="20"/>
              </w:rPr>
            </w:pPr>
            <w:r>
              <w:rPr>
                <w:rFonts w:cs="Times New Roman"/>
                <w:sz w:val="20"/>
                <w:szCs w:val="20"/>
              </w:rPr>
              <w:t xml:space="preserve">13.  </w:t>
            </w:r>
            <w:r w:rsidR="00ED220D" w:rsidRPr="00B2211B">
              <w:rPr>
                <w:rFonts w:cs="Times New Roman"/>
                <w:sz w:val="20"/>
                <w:szCs w:val="20"/>
              </w:rPr>
              <w:t>Full and continuing cooperation with ORI during its oversight review under Subpart D of 42 C.F.R. Part 93 or any subsequent administrative hearings or appeals under Subpart E of Part 93. This includes providing all research records and evidence under the institution's control, custody, or possession and access to all persons within its authority necessary to develop a complete record of relevant evidence  (§93.304(m))</w:t>
            </w:r>
          </w:p>
        </w:tc>
      </w:tr>
    </w:tbl>
    <w:p w:rsidR="007A1C82" w:rsidRPr="00B2211B" w:rsidRDefault="007A1C82" w:rsidP="003504F8">
      <w:pPr>
        <w:pStyle w:val="ListParagraph"/>
        <w:spacing w:line="240" w:lineRule="auto"/>
        <w:rPr>
          <w:rFonts w:cs="Times New Roman"/>
          <w:sz w:val="20"/>
          <w:szCs w:val="20"/>
        </w:rPr>
      </w:pPr>
    </w:p>
    <w:p w:rsidR="00ED220D" w:rsidRDefault="00ED220D">
      <w:pPr>
        <w:rPr>
          <w:rFonts w:cs="Times New Roman"/>
          <w:b/>
          <w:szCs w:val="20"/>
        </w:rPr>
      </w:pPr>
      <w:r>
        <w:rPr>
          <w:rFonts w:cs="Times New Roman"/>
          <w:b/>
          <w:szCs w:val="20"/>
        </w:rPr>
        <w:br w:type="page"/>
      </w:r>
    </w:p>
    <w:p w:rsidR="003504F8" w:rsidRPr="00B2211B" w:rsidRDefault="003504F8" w:rsidP="003504F8">
      <w:pPr>
        <w:pStyle w:val="ListParagraph"/>
        <w:spacing w:line="240" w:lineRule="auto"/>
        <w:ind w:left="-180"/>
        <w:rPr>
          <w:rFonts w:cs="Times New Roman"/>
          <w:b/>
          <w:szCs w:val="20"/>
        </w:rPr>
      </w:pPr>
      <w:r w:rsidRPr="00B2211B">
        <w:rPr>
          <w:rFonts w:cs="Times New Roman"/>
          <w:b/>
          <w:szCs w:val="20"/>
        </w:rPr>
        <w:lastRenderedPageBreak/>
        <w:t>Additional Elements</w:t>
      </w:r>
    </w:p>
    <w:p w:rsidR="00D37442" w:rsidRPr="00B2211B" w:rsidRDefault="003504F8" w:rsidP="006F0343">
      <w:pPr>
        <w:pStyle w:val="ListParagraph"/>
        <w:spacing w:line="240" w:lineRule="auto"/>
        <w:ind w:left="-180"/>
        <w:rPr>
          <w:rFonts w:cs="Times New Roman"/>
          <w:sz w:val="20"/>
          <w:szCs w:val="20"/>
        </w:rPr>
      </w:pPr>
      <w:r w:rsidRPr="00B2211B">
        <w:rPr>
          <w:rFonts w:cs="Times New Roman"/>
          <w:sz w:val="20"/>
          <w:szCs w:val="20"/>
        </w:rPr>
        <w:t>Although not required to be included</w:t>
      </w:r>
      <w:r w:rsidR="00092B90" w:rsidRPr="00B2211B">
        <w:rPr>
          <w:rFonts w:cs="Times New Roman"/>
          <w:sz w:val="20"/>
          <w:szCs w:val="20"/>
        </w:rPr>
        <w:t xml:space="preserve"> in writing</w:t>
      </w:r>
      <w:r w:rsidRPr="00B2211B">
        <w:rPr>
          <w:rFonts w:cs="Times New Roman"/>
          <w:sz w:val="20"/>
          <w:szCs w:val="20"/>
        </w:rPr>
        <w:t xml:space="preserve"> in the institutional policies and procedures as described in §93.304,</w:t>
      </w:r>
      <w:r w:rsidR="007315FC" w:rsidRPr="00B2211B">
        <w:rPr>
          <w:rFonts w:cs="Times New Roman"/>
          <w:sz w:val="20"/>
          <w:szCs w:val="20"/>
        </w:rPr>
        <w:t xml:space="preserve"> institutions may consider incorporating the following elements</w:t>
      </w:r>
      <w:r w:rsidR="00343C21">
        <w:rPr>
          <w:rFonts w:cs="Times New Roman"/>
          <w:sz w:val="20"/>
          <w:szCs w:val="20"/>
        </w:rPr>
        <w:t xml:space="preserve"> (Sections B, C, and D)</w:t>
      </w:r>
      <w:r w:rsidR="007315FC" w:rsidRPr="00B2211B">
        <w:rPr>
          <w:rFonts w:cs="Times New Roman"/>
          <w:sz w:val="20"/>
          <w:szCs w:val="20"/>
        </w:rPr>
        <w:t xml:space="preserve"> in their written policy and procedures</w:t>
      </w:r>
      <w:r w:rsidR="00BD6606" w:rsidRPr="00B2211B">
        <w:rPr>
          <w:rFonts w:cs="Times New Roman"/>
          <w:sz w:val="20"/>
          <w:szCs w:val="20"/>
        </w:rPr>
        <w:t>.</w:t>
      </w:r>
      <w:r w:rsidR="006F0343" w:rsidRPr="00B2211B">
        <w:rPr>
          <w:rFonts w:cs="Times New Roman"/>
          <w:sz w:val="20"/>
          <w:szCs w:val="20"/>
        </w:rPr>
        <w:t xml:space="preserve">  This is not an exhaustive list.  Institutions, as defined in §93.213, are required to comply with 42 C</w:t>
      </w:r>
      <w:r w:rsidR="005D6498" w:rsidRPr="00B2211B">
        <w:rPr>
          <w:rFonts w:cs="Times New Roman"/>
          <w:sz w:val="20"/>
          <w:szCs w:val="20"/>
        </w:rPr>
        <w:t>.</w:t>
      </w:r>
      <w:r w:rsidR="006F0343" w:rsidRPr="00B2211B">
        <w:rPr>
          <w:rFonts w:cs="Times New Roman"/>
          <w:sz w:val="20"/>
          <w:szCs w:val="20"/>
        </w:rPr>
        <w:t>F</w:t>
      </w:r>
      <w:r w:rsidR="005D6498" w:rsidRPr="00B2211B">
        <w:rPr>
          <w:rFonts w:cs="Times New Roman"/>
          <w:sz w:val="20"/>
          <w:szCs w:val="20"/>
        </w:rPr>
        <w:t>.</w:t>
      </w:r>
      <w:r w:rsidR="006F0343" w:rsidRPr="00B2211B">
        <w:rPr>
          <w:rFonts w:cs="Times New Roman"/>
          <w:sz w:val="20"/>
          <w:szCs w:val="20"/>
        </w:rPr>
        <w:t>R</w:t>
      </w:r>
      <w:r w:rsidR="005D6498" w:rsidRPr="00B2211B">
        <w:rPr>
          <w:rFonts w:cs="Times New Roman"/>
          <w:sz w:val="20"/>
          <w:szCs w:val="20"/>
        </w:rPr>
        <w:t>.</w:t>
      </w:r>
      <w:r w:rsidR="006F0343" w:rsidRPr="00B2211B">
        <w:rPr>
          <w:rFonts w:cs="Times New Roman"/>
          <w:sz w:val="20"/>
          <w:szCs w:val="20"/>
        </w:rPr>
        <w:t xml:space="preserve"> Part 93 in its entirety.   Individuals responsible for drafting their institutional policies and procedures should consult their legal counsel to ensure compliance with 42 C</w:t>
      </w:r>
      <w:r w:rsidR="005D6498" w:rsidRPr="00B2211B">
        <w:rPr>
          <w:rFonts w:cs="Times New Roman"/>
          <w:sz w:val="20"/>
          <w:szCs w:val="20"/>
        </w:rPr>
        <w:t>.</w:t>
      </w:r>
      <w:r w:rsidR="006F0343" w:rsidRPr="00B2211B">
        <w:rPr>
          <w:rFonts w:cs="Times New Roman"/>
          <w:sz w:val="20"/>
          <w:szCs w:val="20"/>
        </w:rPr>
        <w:t>F</w:t>
      </w:r>
      <w:r w:rsidR="005D6498" w:rsidRPr="00B2211B">
        <w:rPr>
          <w:rFonts w:cs="Times New Roman"/>
          <w:sz w:val="20"/>
          <w:szCs w:val="20"/>
        </w:rPr>
        <w:t>.</w:t>
      </w:r>
      <w:r w:rsidR="006F0343" w:rsidRPr="00B2211B">
        <w:rPr>
          <w:rFonts w:cs="Times New Roman"/>
          <w:sz w:val="20"/>
          <w:szCs w:val="20"/>
        </w:rPr>
        <w:t>R</w:t>
      </w:r>
      <w:r w:rsidR="005D6498" w:rsidRPr="00B2211B">
        <w:rPr>
          <w:rFonts w:cs="Times New Roman"/>
          <w:sz w:val="20"/>
          <w:szCs w:val="20"/>
        </w:rPr>
        <w:t>.</w:t>
      </w:r>
      <w:r w:rsidR="006F0343" w:rsidRPr="00B2211B">
        <w:rPr>
          <w:rFonts w:cs="Times New Roman"/>
          <w:sz w:val="20"/>
          <w:szCs w:val="20"/>
        </w:rPr>
        <w:t xml:space="preserve"> Part 93. </w:t>
      </w:r>
    </w:p>
    <w:p w:rsidR="007315FC" w:rsidRPr="00B2211B" w:rsidRDefault="007315FC" w:rsidP="007315FC">
      <w:pPr>
        <w:pStyle w:val="ListParagraph"/>
        <w:spacing w:line="240" w:lineRule="auto"/>
        <w:ind w:left="-180"/>
        <w:rPr>
          <w:rFonts w:cs="Times New Roman"/>
          <w:sz w:val="20"/>
          <w:szCs w:val="20"/>
        </w:rPr>
      </w:pPr>
    </w:p>
    <w:tbl>
      <w:tblPr>
        <w:tblStyle w:val="TableGrid"/>
        <w:tblW w:w="10440" w:type="dxa"/>
        <w:tblInd w:w="-342" w:type="dxa"/>
        <w:tblLayout w:type="fixed"/>
        <w:tblLook w:val="04A0" w:firstRow="1" w:lastRow="0" w:firstColumn="1" w:lastColumn="0" w:noHBand="0" w:noVBand="1"/>
      </w:tblPr>
      <w:tblGrid>
        <w:gridCol w:w="1350"/>
        <w:gridCol w:w="9090"/>
      </w:tblGrid>
      <w:tr w:rsidR="003504F8" w:rsidRPr="00B2211B" w:rsidTr="00E97B2E">
        <w:tc>
          <w:tcPr>
            <w:tcW w:w="10440" w:type="dxa"/>
            <w:gridSpan w:val="2"/>
          </w:tcPr>
          <w:p w:rsidR="00EB643E" w:rsidRPr="00B2211B" w:rsidRDefault="003504F8" w:rsidP="003504F8">
            <w:pPr>
              <w:pStyle w:val="ListParagraph"/>
              <w:numPr>
                <w:ilvl w:val="0"/>
                <w:numId w:val="3"/>
              </w:numPr>
              <w:ind w:left="446"/>
              <w:rPr>
                <w:rFonts w:cs="Times New Roman"/>
                <w:b/>
                <w:sz w:val="20"/>
                <w:szCs w:val="20"/>
              </w:rPr>
            </w:pPr>
            <w:r w:rsidRPr="00B2211B">
              <w:rPr>
                <w:rFonts w:cs="Times New Roman"/>
                <w:b/>
                <w:sz w:val="20"/>
                <w:szCs w:val="20"/>
              </w:rPr>
              <w:t>GENERAL ELEMENTS</w:t>
            </w:r>
            <w:r w:rsidR="00ED220D">
              <w:rPr>
                <w:rFonts w:cs="Times New Roman"/>
                <w:b/>
                <w:sz w:val="20"/>
                <w:szCs w:val="20"/>
              </w:rPr>
              <w:br/>
            </w:r>
          </w:p>
        </w:tc>
      </w:tr>
      <w:tr w:rsidR="00ED220D" w:rsidRPr="00B2211B" w:rsidTr="00ED220D">
        <w:tc>
          <w:tcPr>
            <w:tcW w:w="1350" w:type="dxa"/>
          </w:tcPr>
          <w:p w:rsidR="00ED220D" w:rsidRPr="00B2211B" w:rsidRDefault="00ED220D" w:rsidP="00ED220D">
            <w:pPr>
              <w:rPr>
                <w:rFonts w:cs="Times New Roman"/>
                <w:b/>
                <w:sz w:val="20"/>
                <w:szCs w:val="20"/>
              </w:rPr>
            </w:pPr>
            <w:r w:rsidRPr="00B2211B">
              <w:rPr>
                <w:rFonts w:cs="Times New Roman"/>
                <w:b/>
                <w:sz w:val="20"/>
                <w:szCs w:val="20"/>
              </w:rPr>
              <w:t>Page/Section</w:t>
            </w:r>
          </w:p>
        </w:tc>
        <w:tc>
          <w:tcPr>
            <w:tcW w:w="9090" w:type="dxa"/>
          </w:tcPr>
          <w:p w:rsidR="00ED220D" w:rsidRPr="00B2211B" w:rsidRDefault="00ED220D" w:rsidP="003504F8">
            <w:pPr>
              <w:ind w:right="-288"/>
              <w:rPr>
                <w:rFonts w:cs="Times New Roman"/>
                <w:b/>
                <w:sz w:val="20"/>
                <w:szCs w:val="20"/>
              </w:rPr>
            </w:pPr>
            <w:r w:rsidRPr="00B2211B">
              <w:rPr>
                <w:rFonts w:cs="Times New Roman"/>
                <w:b/>
                <w:sz w:val="20"/>
                <w:szCs w:val="20"/>
              </w:rPr>
              <w:t>Description</w:t>
            </w:r>
          </w:p>
        </w:tc>
      </w:tr>
      <w:tr w:rsidR="00ED220D" w:rsidRPr="00B2211B" w:rsidTr="00ED220D">
        <w:tc>
          <w:tcPr>
            <w:tcW w:w="1350" w:type="dxa"/>
          </w:tcPr>
          <w:p w:rsidR="00ED220D" w:rsidRPr="00B2211B" w:rsidRDefault="00ED220D" w:rsidP="003504F8">
            <w:pPr>
              <w:ind w:left="-14"/>
              <w:rPr>
                <w:rFonts w:cs="Times New Roman"/>
                <w:sz w:val="20"/>
                <w:szCs w:val="20"/>
              </w:rPr>
            </w:pPr>
          </w:p>
        </w:tc>
        <w:tc>
          <w:tcPr>
            <w:tcW w:w="9090" w:type="dxa"/>
          </w:tcPr>
          <w:p w:rsidR="00ED220D" w:rsidRPr="00B2211B" w:rsidRDefault="00461D0C" w:rsidP="003504F8">
            <w:pPr>
              <w:ind w:left="-14"/>
              <w:rPr>
                <w:rFonts w:cs="Times New Roman"/>
                <w:sz w:val="20"/>
                <w:szCs w:val="20"/>
              </w:rPr>
            </w:pPr>
            <w:r>
              <w:rPr>
                <w:rFonts w:cs="Times New Roman"/>
                <w:sz w:val="20"/>
                <w:szCs w:val="20"/>
              </w:rPr>
              <w:t xml:space="preserve">14.  </w:t>
            </w:r>
            <w:r w:rsidR="00ED220D" w:rsidRPr="00B2211B">
              <w:rPr>
                <w:rFonts w:cs="Times New Roman"/>
                <w:sz w:val="20"/>
                <w:szCs w:val="20"/>
              </w:rPr>
              <w:t>Informing institution’s research members of the policy and procedures, and the institution’s commitment to compliance with the policy and procedures (§93.302(a)(2)(i))</w:t>
            </w:r>
          </w:p>
          <w:p w:rsidR="00ED220D" w:rsidRPr="00B2211B" w:rsidRDefault="00ED220D" w:rsidP="003504F8">
            <w:pPr>
              <w:ind w:left="-14"/>
              <w:rPr>
                <w:rFonts w:cs="Times New Roman"/>
                <w:b/>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B2211B" w:rsidRDefault="00461D0C" w:rsidP="003504F8">
            <w:pPr>
              <w:rPr>
                <w:rFonts w:cs="Times New Roman"/>
                <w:sz w:val="20"/>
                <w:szCs w:val="20"/>
              </w:rPr>
            </w:pPr>
            <w:r>
              <w:rPr>
                <w:rFonts w:cs="Times New Roman"/>
                <w:sz w:val="20"/>
                <w:szCs w:val="20"/>
              </w:rPr>
              <w:t xml:space="preserve">15.  </w:t>
            </w:r>
            <w:r w:rsidR="00ED220D" w:rsidRPr="00B2211B">
              <w:rPr>
                <w:rFonts w:cs="Times New Roman"/>
                <w:sz w:val="20"/>
                <w:szCs w:val="20"/>
              </w:rPr>
              <w:t xml:space="preserve">Definition of research misconduct is consistent with §93.103 </w:t>
            </w:r>
          </w:p>
          <w:p w:rsidR="00ED220D" w:rsidRPr="00B2211B" w:rsidRDefault="002337F4" w:rsidP="003504F8">
            <w:pPr>
              <w:ind w:left="720"/>
              <w:rPr>
                <w:rFonts w:cs="Times New Roman"/>
                <w:sz w:val="20"/>
                <w:szCs w:val="20"/>
              </w:rPr>
            </w:pPr>
            <w:sdt>
              <w:sdtPr>
                <w:rPr>
                  <w:rFonts w:cs="Times New Roman"/>
                  <w:sz w:val="20"/>
                  <w:szCs w:val="20"/>
                </w:rPr>
                <w:id w:val="2143771618"/>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Fabrication</w:t>
            </w:r>
          </w:p>
          <w:p w:rsidR="00ED220D" w:rsidRPr="00B2211B" w:rsidRDefault="002337F4" w:rsidP="003504F8">
            <w:pPr>
              <w:ind w:left="720"/>
              <w:rPr>
                <w:rFonts w:cs="Times New Roman"/>
                <w:sz w:val="20"/>
                <w:szCs w:val="20"/>
              </w:rPr>
            </w:pPr>
            <w:sdt>
              <w:sdtPr>
                <w:rPr>
                  <w:rFonts w:cs="Times New Roman"/>
                  <w:sz w:val="20"/>
                  <w:szCs w:val="20"/>
                </w:rPr>
                <w:id w:val="1395936824"/>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Falsification</w:t>
            </w:r>
          </w:p>
          <w:p w:rsidR="00ED220D" w:rsidRPr="00B2211B" w:rsidRDefault="002337F4" w:rsidP="003504F8">
            <w:pPr>
              <w:ind w:left="720"/>
              <w:rPr>
                <w:rFonts w:cs="Times New Roman"/>
                <w:sz w:val="20"/>
                <w:szCs w:val="20"/>
              </w:rPr>
            </w:pPr>
            <w:sdt>
              <w:sdtPr>
                <w:rPr>
                  <w:rFonts w:cs="Times New Roman"/>
                  <w:sz w:val="20"/>
                  <w:szCs w:val="20"/>
                </w:rPr>
                <w:id w:val="166368589"/>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Plagiarism</w:t>
            </w:r>
          </w:p>
          <w:p w:rsidR="00ED220D" w:rsidRPr="00B2211B" w:rsidRDefault="002337F4" w:rsidP="003504F8">
            <w:pPr>
              <w:ind w:left="720"/>
              <w:rPr>
                <w:rFonts w:cs="Times New Roman"/>
                <w:sz w:val="20"/>
                <w:szCs w:val="20"/>
              </w:rPr>
            </w:pPr>
            <w:sdt>
              <w:sdtPr>
                <w:rPr>
                  <w:rFonts w:cs="Times New Roman"/>
                  <w:sz w:val="20"/>
                  <w:szCs w:val="20"/>
                </w:rPr>
                <w:id w:val="193359996"/>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Does not include honest error or differences of opinion</w:t>
            </w:r>
          </w:p>
          <w:p w:rsidR="00ED220D" w:rsidRPr="00B2211B" w:rsidRDefault="002337F4" w:rsidP="00091374">
            <w:pPr>
              <w:ind w:left="972" w:hanging="252"/>
              <w:rPr>
                <w:rFonts w:cs="Times New Roman"/>
                <w:sz w:val="20"/>
                <w:szCs w:val="20"/>
              </w:rPr>
            </w:pPr>
            <w:sdt>
              <w:sdtPr>
                <w:rPr>
                  <w:rFonts w:cs="Times New Roman"/>
                  <w:sz w:val="20"/>
                  <w:szCs w:val="20"/>
                </w:rPr>
                <w:id w:val="1537620948"/>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Research misconduct means fabrication, falsification, or plagiarism in proposing, performing, or reviewing research, or in reporting research results</w:t>
            </w:r>
          </w:p>
          <w:p w:rsidR="00ED220D" w:rsidRPr="00B2211B" w:rsidRDefault="00ED220D" w:rsidP="003504F8">
            <w:pPr>
              <w:ind w:left="720"/>
              <w:rPr>
                <w:rFonts w:cs="Times New Roman"/>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B2211B" w:rsidRDefault="00461D0C" w:rsidP="003504F8">
            <w:pPr>
              <w:rPr>
                <w:rFonts w:cs="Times New Roman"/>
                <w:sz w:val="20"/>
                <w:szCs w:val="20"/>
              </w:rPr>
            </w:pPr>
            <w:r>
              <w:rPr>
                <w:rFonts w:cs="Times New Roman"/>
                <w:sz w:val="20"/>
                <w:szCs w:val="20"/>
              </w:rPr>
              <w:t xml:space="preserve">16.  </w:t>
            </w:r>
            <w:r w:rsidR="00ED220D" w:rsidRPr="00B2211B">
              <w:rPr>
                <w:rFonts w:cs="Times New Roman"/>
                <w:sz w:val="20"/>
                <w:szCs w:val="20"/>
              </w:rPr>
              <w:t>Requirements for findings of research misconduct (§93.104)</w:t>
            </w:r>
          </w:p>
          <w:p w:rsidR="00ED220D" w:rsidRPr="00B2211B" w:rsidRDefault="002337F4" w:rsidP="00091374">
            <w:pPr>
              <w:ind w:left="972" w:hanging="252"/>
              <w:rPr>
                <w:rFonts w:cs="Times New Roman"/>
                <w:sz w:val="20"/>
                <w:szCs w:val="20"/>
              </w:rPr>
            </w:pPr>
            <w:sdt>
              <w:sdtPr>
                <w:rPr>
                  <w:rFonts w:cs="Times New Roman"/>
                  <w:sz w:val="20"/>
                  <w:szCs w:val="20"/>
                </w:rPr>
                <w:id w:val="-885953691"/>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Significant departure from accepted practices of the relevant research community, and </w:t>
            </w:r>
          </w:p>
          <w:p w:rsidR="00ED220D" w:rsidRPr="00B2211B" w:rsidRDefault="002337F4" w:rsidP="00091374">
            <w:pPr>
              <w:ind w:left="972" w:hanging="252"/>
              <w:rPr>
                <w:rFonts w:cs="Times New Roman"/>
                <w:sz w:val="20"/>
                <w:szCs w:val="20"/>
              </w:rPr>
            </w:pPr>
            <w:sdt>
              <w:sdtPr>
                <w:rPr>
                  <w:rFonts w:cs="Times New Roman"/>
                  <w:sz w:val="20"/>
                  <w:szCs w:val="20"/>
                </w:rPr>
                <w:id w:val="1570691272"/>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Misconduct committed intentionally, knowingly, or recklessly, and</w:t>
            </w:r>
          </w:p>
          <w:p w:rsidR="00ED220D" w:rsidRPr="00B2211B" w:rsidRDefault="002337F4" w:rsidP="00091374">
            <w:pPr>
              <w:ind w:left="972" w:hanging="252"/>
              <w:rPr>
                <w:rFonts w:cs="Times New Roman"/>
                <w:sz w:val="20"/>
                <w:szCs w:val="20"/>
              </w:rPr>
            </w:pPr>
            <w:sdt>
              <w:sdtPr>
                <w:rPr>
                  <w:rFonts w:cs="Times New Roman"/>
                  <w:sz w:val="20"/>
                  <w:szCs w:val="20"/>
                </w:rPr>
                <w:id w:val="-582915974"/>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Proven by a preponderance of evidence</w:t>
            </w:r>
          </w:p>
          <w:p w:rsidR="00ED220D" w:rsidRPr="00B2211B" w:rsidRDefault="00ED220D" w:rsidP="003504F8">
            <w:pPr>
              <w:rPr>
                <w:rFonts w:cs="Times New Roman"/>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B2211B" w:rsidRDefault="00461D0C" w:rsidP="003504F8">
            <w:pPr>
              <w:rPr>
                <w:rFonts w:cs="Times New Roman"/>
                <w:sz w:val="20"/>
                <w:szCs w:val="20"/>
              </w:rPr>
            </w:pPr>
            <w:r>
              <w:rPr>
                <w:rFonts w:cs="Times New Roman"/>
                <w:sz w:val="20"/>
                <w:szCs w:val="20"/>
              </w:rPr>
              <w:t xml:space="preserve">17.  </w:t>
            </w:r>
            <w:r w:rsidR="00ED220D" w:rsidRPr="00B2211B">
              <w:rPr>
                <w:rFonts w:cs="Times New Roman"/>
                <w:sz w:val="20"/>
                <w:szCs w:val="20"/>
              </w:rPr>
              <w:t>Allegation may be by any means of communication to an institutional or HHS official (§93.201)</w:t>
            </w:r>
          </w:p>
          <w:p w:rsidR="00ED220D" w:rsidRPr="000F0A7C" w:rsidRDefault="00ED220D" w:rsidP="003504F8">
            <w:pPr>
              <w:rPr>
                <w:rFonts w:cs="Times New Roman"/>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B2211B" w:rsidRDefault="00461D0C" w:rsidP="003504F8">
            <w:pPr>
              <w:rPr>
                <w:rFonts w:cs="Times New Roman"/>
                <w:sz w:val="20"/>
                <w:szCs w:val="20"/>
              </w:rPr>
            </w:pPr>
            <w:r>
              <w:rPr>
                <w:rFonts w:cs="Times New Roman"/>
                <w:sz w:val="20"/>
                <w:szCs w:val="20"/>
              </w:rPr>
              <w:t xml:space="preserve">18.  </w:t>
            </w:r>
            <w:r w:rsidR="00ED220D" w:rsidRPr="00B2211B">
              <w:rPr>
                <w:rFonts w:cs="Times New Roman"/>
                <w:sz w:val="20"/>
                <w:szCs w:val="20"/>
              </w:rPr>
              <w:t>Institutional contact information for reporting possible research misconduct. (Not required by the regulation)</w:t>
            </w:r>
          </w:p>
          <w:p w:rsidR="00ED220D" w:rsidRPr="00B2211B" w:rsidRDefault="00ED220D" w:rsidP="003504F8">
            <w:pPr>
              <w:rPr>
                <w:rFonts w:cs="Times New Roman"/>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B2211B" w:rsidRDefault="00461D0C" w:rsidP="003504F8">
            <w:pPr>
              <w:rPr>
                <w:rFonts w:cs="Times New Roman"/>
                <w:sz w:val="20"/>
                <w:szCs w:val="20"/>
              </w:rPr>
            </w:pPr>
            <w:r>
              <w:rPr>
                <w:rFonts w:cs="Times New Roman"/>
                <w:sz w:val="20"/>
                <w:szCs w:val="20"/>
              </w:rPr>
              <w:t xml:space="preserve">19.  </w:t>
            </w:r>
            <w:r w:rsidR="00ED220D" w:rsidRPr="00B2211B">
              <w:rPr>
                <w:rFonts w:cs="Times New Roman"/>
                <w:sz w:val="20"/>
                <w:szCs w:val="20"/>
              </w:rPr>
              <w:t>Six-year limitation on allegations from the date HHS or an institution receives an allegation, and exceptions to the six-year limitation (§93.105)</w:t>
            </w:r>
          </w:p>
          <w:p w:rsidR="00ED220D" w:rsidRPr="00B2211B" w:rsidRDefault="00ED220D" w:rsidP="003504F8">
            <w:pPr>
              <w:rPr>
                <w:rFonts w:cs="Times New Roman"/>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B2211B" w:rsidRDefault="00461D0C" w:rsidP="00D342A8">
            <w:pPr>
              <w:rPr>
                <w:rFonts w:cs="Times New Roman"/>
                <w:sz w:val="20"/>
                <w:szCs w:val="20"/>
              </w:rPr>
            </w:pPr>
            <w:r>
              <w:rPr>
                <w:rFonts w:cs="Times New Roman"/>
                <w:sz w:val="20"/>
                <w:szCs w:val="20"/>
              </w:rPr>
              <w:t xml:space="preserve">20.  </w:t>
            </w:r>
            <w:r w:rsidR="00ED220D" w:rsidRPr="00B2211B">
              <w:rPr>
                <w:rFonts w:cs="Times New Roman"/>
                <w:sz w:val="20"/>
                <w:szCs w:val="20"/>
              </w:rPr>
              <w:t>The institution shall take all reasonable and practical steps to ensure the cooperation of respondents and other institutional members with research misconduct proceedings, including, but not limited to, their providing information, research records, and evidence (§93.300(f))</w:t>
            </w:r>
          </w:p>
          <w:p w:rsidR="00ED220D" w:rsidRPr="00B2211B" w:rsidRDefault="00ED220D" w:rsidP="003504F8">
            <w:pPr>
              <w:rPr>
                <w:rFonts w:cs="Times New Roman"/>
                <w:sz w:val="20"/>
                <w:szCs w:val="20"/>
              </w:rPr>
            </w:pPr>
          </w:p>
        </w:tc>
      </w:tr>
      <w:tr w:rsidR="00ED220D" w:rsidRPr="00B2211B" w:rsidTr="00ED220D">
        <w:tc>
          <w:tcPr>
            <w:tcW w:w="1350" w:type="dxa"/>
          </w:tcPr>
          <w:p w:rsidR="00ED220D" w:rsidRPr="00B2211B" w:rsidRDefault="00ED220D" w:rsidP="003504F8">
            <w:pPr>
              <w:rPr>
                <w:rFonts w:cs="Times New Roman"/>
                <w:b/>
                <w:sz w:val="20"/>
                <w:szCs w:val="20"/>
              </w:rPr>
            </w:pPr>
          </w:p>
        </w:tc>
        <w:tc>
          <w:tcPr>
            <w:tcW w:w="9090" w:type="dxa"/>
          </w:tcPr>
          <w:p w:rsidR="00ED220D" w:rsidRPr="00B2211B" w:rsidRDefault="00461D0C" w:rsidP="00AB62C2">
            <w:pPr>
              <w:rPr>
                <w:rFonts w:cs="Times New Roman"/>
                <w:sz w:val="20"/>
                <w:szCs w:val="20"/>
              </w:rPr>
            </w:pPr>
            <w:r>
              <w:rPr>
                <w:rFonts w:cs="Times New Roman"/>
                <w:sz w:val="20"/>
                <w:szCs w:val="20"/>
              </w:rPr>
              <w:t xml:space="preserve">21.  </w:t>
            </w:r>
            <w:r w:rsidR="00ED220D" w:rsidRPr="00B2211B">
              <w:rPr>
                <w:rFonts w:cs="Times New Roman"/>
                <w:sz w:val="20"/>
                <w:szCs w:val="20"/>
              </w:rPr>
              <w:t>Carry inquiries and investigations through to completion and to pursue diligently all significant issues (§93.316)</w:t>
            </w:r>
          </w:p>
        </w:tc>
      </w:tr>
      <w:tr w:rsidR="00ED220D" w:rsidRPr="00B2211B" w:rsidTr="00ED220D">
        <w:tc>
          <w:tcPr>
            <w:tcW w:w="1350" w:type="dxa"/>
          </w:tcPr>
          <w:p w:rsidR="00ED220D" w:rsidRPr="00B2211B" w:rsidRDefault="00ED220D" w:rsidP="003504F8">
            <w:pPr>
              <w:rPr>
                <w:rFonts w:cs="Times New Roman"/>
                <w:b/>
                <w:sz w:val="20"/>
                <w:szCs w:val="20"/>
              </w:rPr>
            </w:pPr>
          </w:p>
        </w:tc>
        <w:tc>
          <w:tcPr>
            <w:tcW w:w="9090" w:type="dxa"/>
          </w:tcPr>
          <w:p w:rsidR="00ED220D" w:rsidRPr="00B2211B" w:rsidRDefault="00461D0C" w:rsidP="003504F8">
            <w:pPr>
              <w:rPr>
                <w:rFonts w:cs="Times New Roman"/>
                <w:sz w:val="20"/>
                <w:szCs w:val="20"/>
              </w:rPr>
            </w:pPr>
            <w:r>
              <w:rPr>
                <w:rFonts w:cs="Times New Roman"/>
                <w:sz w:val="20"/>
                <w:szCs w:val="20"/>
              </w:rPr>
              <w:t xml:space="preserve">22.  </w:t>
            </w:r>
            <w:r w:rsidR="00ED220D" w:rsidRPr="00B2211B">
              <w:rPr>
                <w:rFonts w:cs="Times New Roman"/>
                <w:sz w:val="20"/>
                <w:szCs w:val="20"/>
              </w:rPr>
              <w:t xml:space="preserve">Notify ORI in advance if the institution plans to close a case at the </w:t>
            </w:r>
          </w:p>
          <w:p w:rsidR="00ED220D" w:rsidRPr="00B2211B" w:rsidRDefault="002337F4" w:rsidP="00AB62C2">
            <w:pPr>
              <w:ind w:left="720"/>
              <w:rPr>
                <w:rFonts w:cs="Times New Roman"/>
                <w:sz w:val="20"/>
                <w:szCs w:val="20"/>
              </w:rPr>
            </w:pPr>
            <w:sdt>
              <w:sdtPr>
                <w:rPr>
                  <w:rFonts w:cs="Times New Roman"/>
                  <w:sz w:val="20"/>
                  <w:szCs w:val="20"/>
                </w:rPr>
                <w:id w:val="1780284609"/>
                <w14:checkbox>
                  <w14:checked w14:val="0"/>
                  <w14:checkedState w14:val="2612" w14:font="MS Gothic"/>
                  <w14:uncheckedState w14:val="2610" w14:font="MS Gothic"/>
                </w14:checkbox>
              </w:sdtPr>
              <w:sdtEndPr/>
              <w:sdtContent>
                <w:r w:rsidR="00ED220D" w:rsidRPr="00B2211B">
                  <w:rPr>
                    <w:rFonts w:ascii="MS Gothic" w:eastAsia="MS Gothic" w:hAnsi="MS Gothic" w:cs="Times New Roman" w:hint="eastAsia"/>
                    <w:sz w:val="20"/>
                    <w:szCs w:val="20"/>
                  </w:rPr>
                  <w:t>☐</w:t>
                </w:r>
              </w:sdtContent>
            </w:sdt>
            <w:r w:rsidR="00ED220D" w:rsidRPr="00B2211B">
              <w:rPr>
                <w:rFonts w:cs="Times New Roman"/>
                <w:sz w:val="20"/>
                <w:szCs w:val="20"/>
              </w:rPr>
              <w:t xml:space="preserve"> Inquiry, </w:t>
            </w:r>
          </w:p>
          <w:p w:rsidR="00ED220D" w:rsidRPr="00B2211B" w:rsidRDefault="002337F4" w:rsidP="00AB62C2">
            <w:pPr>
              <w:ind w:left="720"/>
              <w:rPr>
                <w:rFonts w:cs="Times New Roman"/>
                <w:sz w:val="20"/>
                <w:szCs w:val="20"/>
              </w:rPr>
            </w:pPr>
            <w:sdt>
              <w:sdtPr>
                <w:rPr>
                  <w:rFonts w:cs="Times New Roman"/>
                  <w:sz w:val="20"/>
                  <w:szCs w:val="20"/>
                </w:rPr>
                <w:id w:val="-125245681"/>
                <w14:checkbox>
                  <w14:checked w14:val="0"/>
                  <w14:checkedState w14:val="2612" w14:font="MS Gothic"/>
                  <w14:uncheckedState w14:val="2610" w14:font="MS Gothic"/>
                </w14:checkbox>
              </w:sdtPr>
              <w:sdtEndPr/>
              <w:sdtContent>
                <w:r w:rsidR="00ED220D" w:rsidRPr="00B2211B">
                  <w:rPr>
                    <w:rFonts w:ascii="MS Gothic" w:eastAsia="MS Gothic" w:hAnsi="MS Gothic" w:cs="Times New Roman" w:hint="eastAsia"/>
                    <w:sz w:val="20"/>
                    <w:szCs w:val="20"/>
                  </w:rPr>
                  <w:t>☐</w:t>
                </w:r>
              </w:sdtContent>
            </w:sdt>
            <w:r w:rsidR="00ED220D" w:rsidRPr="00B2211B">
              <w:rPr>
                <w:rFonts w:cs="Times New Roman"/>
                <w:sz w:val="20"/>
                <w:szCs w:val="20"/>
              </w:rPr>
              <w:t xml:space="preserve"> Investigation, or </w:t>
            </w:r>
          </w:p>
          <w:p w:rsidR="00ED220D" w:rsidRPr="00B2211B" w:rsidRDefault="002337F4" w:rsidP="00AB62C2">
            <w:pPr>
              <w:ind w:left="720"/>
              <w:rPr>
                <w:rFonts w:cs="Times New Roman"/>
                <w:sz w:val="20"/>
                <w:szCs w:val="20"/>
              </w:rPr>
            </w:pPr>
            <w:sdt>
              <w:sdtPr>
                <w:rPr>
                  <w:rFonts w:cs="Times New Roman"/>
                  <w:sz w:val="20"/>
                  <w:szCs w:val="20"/>
                </w:rPr>
                <w:id w:val="-1924708842"/>
                <w14:checkbox>
                  <w14:checked w14:val="0"/>
                  <w14:checkedState w14:val="2612" w14:font="MS Gothic"/>
                  <w14:uncheckedState w14:val="2610" w14:font="MS Gothic"/>
                </w14:checkbox>
              </w:sdtPr>
              <w:sdtEndPr/>
              <w:sdtContent>
                <w:r w:rsidR="00ED220D" w:rsidRPr="00B2211B">
                  <w:rPr>
                    <w:rFonts w:ascii="MS Gothic" w:eastAsia="MS Gothic" w:hAnsi="MS Gothic" w:cs="Times New Roman" w:hint="eastAsia"/>
                    <w:sz w:val="20"/>
                    <w:szCs w:val="20"/>
                  </w:rPr>
                  <w:t>☐</w:t>
                </w:r>
              </w:sdtContent>
            </w:sdt>
            <w:r w:rsidR="00ED220D" w:rsidRPr="00B2211B">
              <w:rPr>
                <w:rFonts w:cs="Times New Roman"/>
                <w:sz w:val="20"/>
                <w:szCs w:val="20"/>
              </w:rPr>
              <w:t xml:space="preserve"> Appeal </w:t>
            </w:r>
          </w:p>
          <w:p w:rsidR="00ED220D" w:rsidRPr="00B2211B" w:rsidRDefault="00ED220D" w:rsidP="003504F8">
            <w:pPr>
              <w:rPr>
                <w:rFonts w:cs="Times New Roman"/>
                <w:sz w:val="20"/>
                <w:szCs w:val="20"/>
              </w:rPr>
            </w:pPr>
            <w:r w:rsidRPr="00B2211B">
              <w:rPr>
                <w:rFonts w:cs="Times New Roman"/>
                <w:sz w:val="20"/>
                <w:szCs w:val="20"/>
              </w:rPr>
              <w:t>stage on the basis that the respondent has admitted guilt, a settlement with the respondent has been reached, or for any other reason, except the closing of a case at the inquiry stage on the basis that an investigation is not warranted or a finding of no misconduct at the investigation stage, which must be reported to ORI under Sec. 93.515 (§93.316)</w:t>
            </w:r>
          </w:p>
        </w:tc>
      </w:tr>
      <w:tr w:rsidR="003504F8" w:rsidRPr="00B2211B" w:rsidTr="00E97B2E">
        <w:tc>
          <w:tcPr>
            <w:tcW w:w="10440" w:type="dxa"/>
            <w:gridSpan w:val="2"/>
          </w:tcPr>
          <w:p w:rsidR="00EB643E" w:rsidRPr="00B2211B" w:rsidRDefault="00AB62C2" w:rsidP="00AE0939">
            <w:pPr>
              <w:pStyle w:val="ListParagraph"/>
              <w:numPr>
                <w:ilvl w:val="0"/>
                <w:numId w:val="13"/>
              </w:numPr>
              <w:rPr>
                <w:rFonts w:cs="Times New Roman"/>
                <w:b/>
                <w:sz w:val="20"/>
                <w:szCs w:val="20"/>
              </w:rPr>
            </w:pPr>
            <w:r w:rsidRPr="00B2211B">
              <w:rPr>
                <w:rFonts w:cs="Times New Roman"/>
                <w:b/>
                <w:sz w:val="20"/>
                <w:szCs w:val="20"/>
              </w:rPr>
              <w:t xml:space="preserve">ELEMENTS RELEVANT TO THE </w:t>
            </w:r>
            <w:r w:rsidR="00EB643E" w:rsidRPr="00B2211B">
              <w:rPr>
                <w:rFonts w:cs="Times New Roman"/>
                <w:b/>
                <w:sz w:val="20"/>
                <w:szCs w:val="20"/>
              </w:rPr>
              <w:t>INQUIRY</w:t>
            </w:r>
            <w:r w:rsidR="003504F8" w:rsidRPr="00B2211B">
              <w:rPr>
                <w:rFonts w:cs="Times New Roman"/>
                <w:b/>
                <w:sz w:val="20"/>
                <w:szCs w:val="20"/>
              </w:rPr>
              <w:t xml:space="preserve"> STAGE</w:t>
            </w:r>
            <w:r w:rsidR="00ED220D">
              <w:rPr>
                <w:rFonts w:cs="Times New Roman"/>
                <w:b/>
                <w:sz w:val="20"/>
                <w:szCs w:val="20"/>
              </w:rPr>
              <w:br/>
            </w:r>
          </w:p>
        </w:tc>
      </w:tr>
      <w:tr w:rsidR="00ED220D" w:rsidRPr="00B2211B" w:rsidTr="00ED220D">
        <w:tc>
          <w:tcPr>
            <w:tcW w:w="1350" w:type="dxa"/>
          </w:tcPr>
          <w:p w:rsidR="00ED220D" w:rsidRDefault="00ED220D" w:rsidP="003504F8">
            <w:pPr>
              <w:rPr>
                <w:rFonts w:cs="Times New Roman"/>
                <w:sz w:val="20"/>
                <w:szCs w:val="20"/>
              </w:rPr>
            </w:pPr>
          </w:p>
          <w:p w:rsidR="00ED220D" w:rsidRPr="00B2211B" w:rsidRDefault="00ED220D" w:rsidP="003504F8">
            <w:pPr>
              <w:rPr>
                <w:rFonts w:cs="Times New Roman"/>
                <w:sz w:val="20"/>
                <w:szCs w:val="20"/>
              </w:rPr>
            </w:pPr>
          </w:p>
        </w:tc>
        <w:tc>
          <w:tcPr>
            <w:tcW w:w="9090" w:type="dxa"/>
          </w:tcPr>
          <w:p w:rsidR="00ED220D" w:rsidRPr="00B2211B" w:rsidRDefault="00461D0C" w:rsidP="003504F8">
            <w:pPr>
              <w:rPr>
                <w:rFonts w:cs="Times New Roman"/>
                <w:sz w:val="20"/>
                <w:szCs w:val="20"/>
              </w:rPr>
            </w:pPr>
            <w:r>
              <w:rPr>
                <w:rFonts w:cs="Times New Roman"/>
                <w:sz w:val="20"/>
                <w:szCs w:val="20"/>
              </w:rPr>
              <w:t xml:space="preserve">23.  </w:t>
            </w:r>
            <w:r w:rsidR="00ED220D" w:rsidRPr="00B2211B">
              <w:rPr>
                <w:rFonts w:cs="Times New Roman"/>
                <w:sz w:val="20"/>
                <w:szCs w:val="20"/>
              </w:rPr>
              <w:t>Criteria warranting an inquiry (§93.307(a)(1) - (3))</w:t>
            </w:r>
          </w:p>
          <w:p w:rsidR="00ED220D" w:rsidRPr="00B2211B" w:rsidRDefault="002337F4" w:rsidP="00AB62C2">
            <w:pPr>
              <w:ind w:left="720"/>
              <w:rPr>
                <w:rFonts w:cs="Times New Roman"/>
                <w:sz w:val="20"/>
                <w:szCs w:val="20"/>
              </w:rPr>
            </w:pPr>
            <w:sdt>
              <w:sdtPr>
                <w:rPr>
                  <w:rFonts w:cs="Times New Roman"/>
                  <w:sz w:val="20"/>
                  <w:szCs w:val="20"/>
                </w:rPr>
                <w:id w:val="-1043512671"/>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Falls within the definition of research misconduct under 42 C.F.R. Part 93;</w:t>
            </w:r>
          </w:p>
          <w:p w:rsidR="00ED220D" w:rsidRPr="00B2211B" w:rsidRDefault="002337F4" w:rsidP="00091374">
            <w:pPr>
              <w:ind w:left="972" w:hanging="252"/>
              <w:rPr>
                <w:rFonts w:cs="Times New Roman"/>
                <w:sz w:val="20"/>
                <w:szCs w:val="20"/>
              </w:rPr>
            </w:pPr>
            <w:sdt>
              <w:sdtPr>
                <w:rPr>
                  <w:rFonts w:cs="Times New Roman"/>
                  <w:sz w:val="20"/>
                  <w:szCs w:val="20"/>
                </w:rPr>
                <w:id w:val="709388375"/>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Is within Sec. 93.102; and</w:t>
            </w:r>
          </w:p>
          <w:p w:rsidR="00ED220D" w:rsidRPr="00B2211B" w:rsidRDefault="002337F4" w:rsidP="00091374">
            <w:pPr>
              <w:ind w:left="972" w:hanging="252"/>
              <w:rPr>
                <w:rFonts w:cs="Times New Roman"/>
                <w:sz w:val="20"/>
                <w:szCs w:val="20"/>
              </w:rPr>
            </w:pPr>
            <w:sdt>
              <w:sdtPr>
                <w:rPr>
                  <w:rFonts w:cs="Times New Roman"/>
                  <w:sz w:val="20"/>
                  <w:szCs w:val="20"/>
                </w:rPr>
                <w:id w:val="-1417009310"/>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Is sufficiently credible and specific so that potential evidence of research misconduct may be identified.</w:t>
            </w:r>
          </w:p>
          <w:p w:rsidR="00ED220D" w:rsidRPr="00B2211B" w:rsidRDefault="00ED220D" w:rsidP="003504F8">
            <w:pPr>
              <w:rPr>
                <w:rFonts w:cs="Times New Roman"/>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B2211B" w:rsidRDefault="00461D0C" w:rsidP="00CB3002">
            <w:pPr>
              <w:rPr>
                <w:rFonts w:cs="Times New Roman"/>
                <w:sz w:val="20"/>
                <w:szCs w:val="20"/>
              </w:rPr>
            </w:pPr>
            <w:r>
              <w:rPr>
                <w:rFonts w:cs="Times New Roman"/>
                <w:sz w:val="20"/>
                <w:szCs w:val="20"/>
              </w:rPr>
              <w:t xml:space="preserve">24.  </w:t>
            </w:r>
            <w:r w:rsidR="00ED220D" w:rsidRPr="00B2211B">
              <w:rPr>
                <w:rFonts w:cs="Times New Roman"/>
                <w:sz w:val="20"/>
                <w:szCs w:val="20"/>
              </w:rPr>
              <w:t xml:space="preserve">Take custody of the research records and evidence on or before the date required to secure research records and evidence, inventory them, and sequester them in a secure manner (§93.305(a), (§93.307(b)) </w:t>
            </w: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B2211B" w:rsidRDefault="00461D0C" w:rsidP="003504F8">
            <w:pPr>
              <w:rPr>
                <w:rFonts w:cs="Times New Roman"/>
                <w:sz w:val="20"/>
                <w:szCs w:val="20"/>
              </w:rPr>
            </w:pPr>
            <w:r>
              <w:rPr>
                <w:rFonts w:cs="Times New Roman"/>
                <w:sz w:val="20"/>
                <w:szCs w:val="20"/>
              </w:rPr>
              <w:t xml:space="preserve">25.  </w:t>
            </w:r>
            <w:r w:rsidR="00ED220D" w:rsidRPr="00B2211B">
              <w:rPr>
                <w:rFonts w:cs="Times New Roman"/>
                <w:sz w:val="20"/>
                <w:szCs w:val="20"/>
              </w:rPr>
              <w:t>Sequestration of additional research records or evidence that is discovered during the course of a research misconduct proceeding (§93.305(c))</w:t>
            </w:r>
          </w:p>
          <w:p w:rsidR="00ED220D" w:rsidRPr="00B2211B" w:rsidRDefault="00ED220D" w:rsidP="003504F8">
            <w:pPr>
              <w:rPr>
                <w:rFonts w:cs="Times New Roman"/>
                <w:b/>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B2211B" w:rsidRDefault="00461D0C" w:rsidP="003504F8">
            <w:pPr>
              <w:rPr>
                <w:rFonts w:cs="Times New Roman"/>
                <w:sz w:val="20"/>
                <w:szCs w:val="20"/>
              </w:rPr>
            </w:pPr>
            <w:r>
              <w:rPr>
                <w:rFonts w:cs="Times New Roman"/>
                <w:sz w:val="20"/>
                <w:szCs w:val="20"/>
              </w:rPr>
              <w:t xml:space="preserve">26.  </w:t>
            </w:r>
            <w:r w:rsidR="00ED220D" w:rsidRPr="00B2211B">
              <w:rPr>
                <w:rFonts w:cs="Times New Roman"/>
                <w:sz w:val="20"/>
                <w:szCs w:val="20"/>
              </w:rPr>
              <w:t>Purpose of inquiry is to conduct an initial review of evidence to determine whether to conduct an investigation (§93.307(c))</w:t>
            </w:r>
          </w:p>
          <w:p w:rsidR="00ED220D" w:rsidRPr="00B2211B" w:rsidRDefault="00ED220D" w:rsidP="003504F8">
            <w:pPr>
              <w:rPr>
                <w:rFonts w:cs="Times New Roman"/>
                <w:b/>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B2211B" w:rsidRDefault="00461D0C" w:rsidP="003504F8">
            <w:pPr>
              <w:rPr>
                <w:rFonts w:cs="Times New Roman"/>
                <w:sz w:val="20"/>
                <w:szCs w:val="20"/>
              </w:rPr>
            </w:pPr>
            <w:r>
              <w:rPr>
                <w:rFonts w:cs="Times New Roman"/>
                <w:sz w:val="20"/>
                <w:szCs w:val="20"/>
              </w:rPr>
              <w:t xml:space="preserve">27.  </w:t>
            </w:r>
            <w:r w:rsidR="00ED220D" w:rsidRPr="00B2211B">
              <w:rPr>
                <w:rFonts w:cs="Times New Roman"/>
                <w:sz w:val="20"/>
                <w:szCs w:val="20"/>
              </w:rPr>
              <w:t>Contents of inquiry report (§93.307(e), §93.309(a))</w:t>
            </w:r>
          </w:p>
          <w:p w:rsidR="00ED220D" w:rsidRPr="00B2211B" w:rsidRDefault="002337F4" w:rsidP="00091374">
            <w:pPr>
              <w:ind w:left="972" w:hanging="252"/>
              <w:rPr>
                <w:rFonts w:cs="Times New Roman"/>
                <w:sz w:val="20"/>
                <w:szCs w:val="20"/>
              </w:rPr>
            </w:pPr>
            <w:sdt>
              <w:sdtPr>
                <w:rPr>
                  <w:rFonts w:cs="Times New Roman"/>
                  <w:sz w:val="20"/>
                  <w:szCs w:val="20"/>
                </w:rPr>
                <w:id w:val="714392070"/>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The name and position of the respondent;</w:t>
            </w:r>
          </w:p>
          <w:p w:rsidR="00ED220D" w:rsidRPr="00B2211B" w:rsidRDefault="002337F4" w:rsidP="00091374">
            <w:pPr>
              <w:ind w:left="972" w:hanging="252"/>
              <w:rPr>
                <w:rFonts w:cs="Times New Roman"/>
                <w:sz w:val="20"/>
                <w:szCs w:val="20"/>
              </w:rPr>
            </w:pPr>
            <w:sdt>
              <w:sdtPr>
                <w:rPr>
                  <w:rFonts w:cs="Times New Roman"/>
                  <w:sz w:val="20"/>
                  <w:szCs w:val="20"/>
                </w:rPr>
                <w:id w:val="-866832788"/>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A description of the allegations of research misconduct;</w:t>
            </w:r>
          </w:p>
          <w:p w:rsidR="00ED220D" w:rsidRPr="00B2211B" w:rsidRDefault="002337F4" w:rsidP="00091374">
            <w:pPr>
              <w:ind w:left="972" w:hanging="252"/>
              <w:rPr>
                <w:rFonts w:cs="Times New Roman"/>
                <w:sz w:val="20"/>
                <w:szCs w:val="20"/>
              </w:rPr>
            </w:pPr>
            <w:sdt>
              <w:sdtPr>
                <w:rPr>
                  <w:rFonts w:cs="Times New Roman"/>
                  <w:sz w:val="20"/>
                  <w:szCs w:val="20"/>
                </w:rPr>
                <w:id w:val="757249628"/>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The PHS support, including, for example, grant numbers, grant applications, contracts, and publications listing PHS support;</w:t>
            </w:r>
          </w:p>
          <w:p w:rsidR="00ED220D" w:rsidRPr="00B2211B" w:rsidRDefault="002337F4" w:rsidP="00091374">
            <w:pPr>
              <w:ind w:left="972" w:hanging="252"/>
              <w:rPr>
                <w:rFonts w:cs="Times New Roman"/>
                <w:sz w:val="20"/>
                <w:szCs w:val="20"/>
              </w:rPr>
            </w:pPr>
            <w:sdt>
              <w:sdtPr>
                <w:rPr>
                  <w:rFonts w:cs="Times New Roman"/>
                  <w:sz w:val="20"/>
                  <w:szCs w:val="20"/>
                </w:rPr>
                <w:id w:val="1570302609"/>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The basis for recommending that the alleged actions warrant an investigation; and</w:t>
            </w:r>
          </w:p>
          <w:p w:rsidR="00ED220D" w:rsidRPr="00B2211B" w:rsidRDefault="002337F4" w:rsidP="00091374">
            <w:pPr>
              <w:ind w:left="972" w:hanging="252"/>
              <w:rPr>
                <w:rFonts w:cs="Times New Roman"/>
                <w:sz w:val="20"/>
                <w:szCs w:val="20"/>
              </w:rPr>
            </w:pPr>
            <w:sdt>
              <w:sdtPr>
                <w:rPr>
                  <w:rFonts w:cs="Times New Roman"/>
                  <w:sz w:val="20"/>
                  <w:szCs w:val="20"/>
                </w:rPr>
                <w:id w:val="466632401"/>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Any comments on the report by the respondent or the complainant.</w:t>
            </w:r>
          </w:p>
          <w:p w:rsidR="00ED220D" w:rsidRPr="00B2211B" w:rsidRDefault="00ED220D" w:rsidP="003504F8">
            <w:pPr>
              <w:rPr>
                <w:rFonts w:cs="Times New Roman"/>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B2211B" w:rsidRDefault="00461D0C" w:rsidP="003504F8">
            <w:pPr>
              <w:rPr>
                <w:rFonts w:cs="Times New Roman"/>
                <w:sz w:val="20"/>
                <w:szCs w:val="20"/>
              </w:rPr>
            </w:pPr>
            <w:r>
              <w:rPr>
                <w:rFonts w:cs="Times New Roman"/>
                <w:sz w:val="20"/>
                <w:szCs w:val="20"/>
              </w:rPr>
              <w:t xml:space="preserve">28.  </w:t>
            </w:r>
            <w:r w:rsidR="00ED220D" w:rsidRPr="00B2211B">
              <w:rPr>
                <w:rFonts w:cs="Times New Roman"/>
                <w:sz w:val="20"/>
                <w:szCs w:val="20"/>
              </w:rPr>
              <w:t>Criteria warranting an investigation (§93.307(d)(1-2))</w:t>
            </w:r>
          </w:p>
          <w:p w:rsidR="00ED220D" w:rsidRPr="00B2211B" w:rsidRDefault="00ED220D" w:rsidP="003504F8">
            <w:pPr>
              <w:rPr>
                <w:rFonts w:cs="Times New Roman"/>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Default="00461D0C" w:rsidP="003504F8">
            <w:pPr>
              <w:rPr>
                <w:rFonts w:cs="Times New Roman"/>
                <w:sz w:val="20"/>
                <w:szCs w:val="20"/>
              </w:rPr>
            </w:pPr>
            <w:r>
              <w:rPr>
                <w:rFonts w:cs="Times New Roman"/>
                <w:sz w:val="20"/>
                <w:szCs w:val="20"/>
              </w:rPr>
              <w:t xml:space="preserve">29.  </w:t>
            </w:r>
            <w:r w:rsidR="00ED220D" w:rsidRPr="00B2211B">
              <w:rPr>
                <w:rFonts w:cs="Times New Roman"/>
                <w:sz w:val="20"/>
                <w:szCs w:val="20"/>
              </w:rPr>
              <w:t>Retention of records of research misconduct proceedings, as defined by Part 93, including the inquiry report and final documents produced in the course of preparing inquiry report (§93.317(a)(3), §93.317(b))</w:t>
            </w:r>
          </w:p>
          <w:p w:rsidR="00ED220D" w:rsidRPr="002C5A0D" w:rsidRDefault="00ED220D" w:rsidP="003504F8">
            <w:pPr>
              <w:rPr>
                <w:rFonts w:cs="Times New Roman"/>
                <w:b/>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B2211B" w:rsidRDefault="00461D0C" w:rsidP="003504F8">
            <w:pPr>
              <w:rPr>
                <w:rFonts w:cs="Times New Roman"/>
                <w:sz w:val="20"/>
                <w:szCs w:val="20"/>
              </w:rPr>
            </w:pPr>
            <w:r>
              <w:rPr>
                <w:rFonts w:cs="Times New Roman"/>
                <w:sz w:val="20"/>
                <w:szCs w:val="20"/>
              </w:rPr>
              <w:t xml:space="preserve">30.  </w:t>
            </w:r>
            <w:r w:rsidR="00ED220D" w:rsidRPr="00B2211B">
              <w:rPr>
                <w:rFonts w:cs="Times New Roman"/>
                <w:sz w:val="20"/>
                <w:szCs w:val="20"/>
              </w:rPr>
              <w:t>Documentation of decision not to investigate (§93.309(c))</w:t>
            </w:r>
          </w:p>
          <w:p w:rsidR="00ED220D" w:rsidRPr="00B2211B" w:rsidRDefault="00ED220D" w:rsidP="003504F8">
            <w:pPr>
              <w:rPr>
                <w:rFonts w:cs="Times New Roman"/>
                <w:sz w:val="20"/>
                <w:szCs w:val="20"/>
              </w:rPr>
            </w:pPr>
          </w:p>
        </w:tc>
      </w:tr>
      <w:tr w:rsidR="003504F8" w:rsidRPr="00B2211B" w:rsidTr="00E97B2E">
        <w:tc>
          <w:tcPr>
            <w:tcW w:w="10440" w:type="dxa"/>
            <w:gridSpan w:val="2"/>
          </w:tcPr>
          <w:p w:rsidR="00EB643E" w:rsidRPr="00B2211B" w:rsidRDefault="00AB62C2" w:rsidP="00AE0939">
            <w:pPr>
              <w:pStyle w:val="ListParagraph"/>
              <w:numPr>
                <w:ilvl w:val="0"/>
                <w:numId w:val="14"/>
              </w:numPr>
              <w:rPr>
                <w:rFonts w:cs="Times New Roman"/>
                <w:b/>
                <w:sz w:val="20"/>
                <w:szCs w:val="20"/>
              </w:rPr>
            </w:pPr>
            <w:r w:rsidRPr="00B2211B">
              <w:rPr>
                <w:rFonts w:cs="Times New Roman"/>
                <w:b/>
                <w:sz w:val="20"/>
                <w:szCs w:val="20"/>
              </w:rPr>
              <w:t xml:space="preserve">ELEMENTS RELEVANT TO THE </w:t>
            </w:r>
            <w:r w:rsidR="00EB643E" w:rsidRPr="00B2211B">
              <w:rPr>
                <w:rFonts w:cs="Times New Roman"/>
                <w:b/>
                <w:sz w:val="20"/>
                <w:szCs w:val="20"/>
              </w:rPr>
              <w:t>INVESTIGATION</w:t>
            </w:r>
            <w:r w:rsidR="003504F8" w:rsidRPr="00B2211B">
              <w:rPr>
                <w:rFonts w:cs="Times New Roman"/>
                <w:b/>
                <w:sz w:val="20"/>
                <w:szCs w:val="20"/>
              </w:rPr>
              <w:t xml:space="preserve"> STAGE</w:t>
            </w:r>
            <w:r w:rsidR="00ED220D">
              <w:rPr>
                <w:rFonts w:cs="Times New Roman"/>
                <w:b/>
                <w:sz w:val="20"/>
                <w:szCs w:val="20"/>
              </w:rPr>
              <w:br/>
            </w: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B2211B" w:rsidRDefault="00461D0C" w:rsidP="003504F8">
            <w:pPr>
              <w:rPr>
                <w:rFonts w:cs="Times New Roman"/>
                <w:sz w:val="20"/>
                <w:szCs w:val="20"/>
              </w:rPr>
            </w:pPr>
            <w:r>
              <w:rPr>
                <w:rFonts w:cs="Times New Roman"/>
                <w:sz w:val="20"/>
                <w:szCs w:val="20"/>
              </w:rPr>
              <w:t xml:space="preserve">31.  </w:t>
            </w:r>
            <w:r w:rsidR="00ED220D" w:rsidRPr="00B2211B">
              <w:rPr>
                <w:rFonts w:cs="Times New Roman"/>
                <w:sz w:val="20"/>
                <w:szCs w:val="20"/>
              </w:rPr>
              <w:t>Notify ORI on or before date investigation is to begin (§93.310(b))</w:t>
            </w:r>
          </w:p>
          <w:p w:rsidR="00ED220D" w:rsidRPr="00B2211B" w:rsidRDefault="00ED220D" w:rsidP="003504F8">
            <w:pPr>
              <w:rPr>
                <w:rFonts w:cs="Times New Roman"/>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Default="00461D0C" w:rsidP="003504F8">
            <w:pPr>
              <w:rPr>
                <w:rFonts w:cs="Times New Roman"/>
                <w:sz w:val="20"/>
                <w:szCs w:val="20"/>
              </w:rPr>
            </w:pPr>
            <w:r>
              <w:rPr>
                <w:rFonts w:cs="Times New Roman"/>
                <w:sz w:val="20"/>
                <w:szCs w:val="20"/>
              </w:rPr>
              <w:t xml:space="preserve">32.  </w:t>
            </w:r>
            <w:r w:rsidR="00ED220D" w:rsidRPr="00B2211B">
              <w:rPr>
                <w:rFonts w:cs="Times New Roman"/>
                <w:sz w:val="20"/>
                <w:szCs w:val="20"/>
              </w:rPr>
              <w:t>Additional sequestration as needed to conduct the research misconduct proceeding (§93.310(d))</w:t>
            </w:r>
          </w:p>
          <w:p w:rsidR="00ED220D" w:rsidRPr="00DD5529" w:rsidRDefault="00ED220D" w:rsidP="003504F8">
            <w:pPr>
              <w:rPr>
                <w:rFonts w:cs="Times New Roman"/>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B2211B" w:rsidRDefault="00461D0C" w:rsidP="003B5D72">
            <w:pPr>
              <w:rPr>
                <w:rFonts w:cs="Times New Roman"/>
                <w:sz w:val="20"/>
                <w:szCs w:val="20"/>
              </w:rPr>
            </w:pPr>
            <w:r>
              <w:rPr>
                <w:rFonts w:cs="Times New Roman"/>
                <w:sz w:val="20"/>
                <w:szCs w:val="20"/>
              </w:rPr>
              <w:t xml:space="preserve">33.  </w:t>
            </w:r>
            <w:r w:rsidR="00ED220D" w:rsidRPr="00B2211B">
              <w:rPr>
                <w:rFonts w:cs="Times New Roman"/>
                <w:sz w:val="20"/>
                <w:szCs w:val="20"/>
              </w:rPr>
              <w:t>May request extension of investigation (§93.311(b))</w:t>
            </w:r>
          </w:p>
          <w:p w:rsidR="00ED220D" w:rsidRPr="00B2211B" w:rsidRDefault="00ED220D" w:rsidP="003B5D72">
            <w:pPr>
              <w:rPr>
                <w:rFonts w:cs="Times New Roman"/>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Default="00461D0C" w:rsidP="003504F8">
            <w:pPr>
              <w:rPr>
                <w:rFonts w:cs="Times New Roman"/>
                <w:sz w:val="20"/>
                <w:szCs w:val="20"/>
              </w:rPr>
            </w:pPr>
            <w:r>
              <w:rPr>
                <w:rFonts w:cs="Times New Roman"/>
                <w:sz w:val="20"/>
                <w:szCs w:val="20"/>
              </w:rPr>
              <w:t xml:space="preserve">34.  </w:t>
            </w:r>
            <w:r w:rsidR="00ED220D" w:rsidRPr="00B2211B">
              <w:rPr>
                <w:rFonts w:cs="Times New Roman"/>
                <w:sz w:val="20"/>
                <w:szCs w:val="20"/>
              </w:rPr>
              <w:t>Documentation. Use diligent efforts to ensure that the investigation is thorough and sufficiently documented and includes examination of all research records and evidence relevant to reaching a decision on the merits of the allegations (§93.310(e))</w:t>
            </w:r>
          </w:p>
          <w:p w:rsidR="00ED220D" w:rsidRPr="00B2211B" w:rsidRDefault="00ED220D" w:rsidP="00412EF8">
            <w:pPr>
              <w:rPr>
                <w:rFonts w:cs="Times New Roman"/>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B2211B" w:rsidRDefault="00461D0C" w:rsidP="003504F8">
            <w:pPr>
              <w:rPr>
                <w:rFonts w:cs="Times New Roman"/>
                <w:sz w:val="20"/>
                <w:szCs w:val="20"/>
              </w:rPr>
            </w:pPr>
            <w:r>
              <w:rPr>
                <w:rFonts w:cs="Times New Roman"/>
                <w:sz w:val="20"/>
                <w:szCs w:val="20"/>
              </w:rPr>
              <w:t xml:space="preserve">35.  </w:t>
            </w:r>
            <w:r w:rsidR="00ED220D" w:rsidRPr="00B2211B">
              <w:rPr>
                <w:rFonts w:cs="Times New Roman"/>
                <w:sz w:val="20"/>
                <w:szCs w:val="20"/>
              </w:rPr>
              <w:t>Conduct required interviews, transcribed or recorded (§93.310(g))</w:t>
            </w:r>
          </w:p>
          <w:p w:rsidR="00ED220D" w:rsidRPr="00B2211B" w:rsidRDefault="00ED220D" w:rsidP="003504F8">
            <w:pPr>
              <w:rPr>
                <w:rFonts w:cs="Times New Roman"/>
                <w:sz w:val="20"/>
                <w:szCs w:val="20"/>
              </w:rPr>
            </w:pPr>
          </w:p>
        </w:tc>
      </w:tr>
      <w:tr w:rsidR="00ED220D" w:rsidRPr="00B2211B" w:rsidTr="00ED220D">
        <w:trPr>
          <w:trHeight w:val="818"/>
        </w:trPr>
        <w:tc>
          <w:tcPr>
            <w:tcW w:w="1350" w:type="dxa"/>
          </w:tcPr>
          <w:p w:rsidR="00ED220D" w:rsidRPr="00B2211B" w:rsidRDefault="00ED220D" w:rsidP="003504F8">
            <w:pPr>
              <w:rPr>
                <w:rFonts w:cs="Times New Roman"/>
                <w:sz w:val="20"/>
                <w:szCs w:val="20"/>
              </w:rPr>
            </w:pPr>
          </w:p>
        </w:tc>
        <w:tc>
          <w:tcPr>
            <w:tcW w:w="9090" w:type="dxa"/>
          </w:tcPr>
          <w:p w:rsidR="00ED220D" w:rsidRDefault="00461D0C" w:rsidP="003504F8">
            <w:pPr>
              <w:rPr>
                <w:rFonts w:cs="Times New Roman"/>
                <w:sz w:val="20"/>
                <w:szCs w:val="20"/>
              </w:rPr>
            </w:pPr>
            <w:r>
              <w:rPr>
                <w:rFonts w:cs="Times New Roman"/>
                <w:sz w:val="20"/>
                <w:szCs w:val="20"/>
              </w:rPr>
              <w:t xml:space="preserve">36.  </w:t>
            </w:r>
            <w:r w:rsidR="00ED220D" w:rsidRPr="00B2211B">
              <w:rPr>
                <w:rFonts w:cs="Times New Roman"/>
                <w:sz w:val="20"/>
                <w:szCs w:val="20"/>
              </w:rPr>
              <w:t>Pursue leads. Pursue diligently all significant issues and leads discovered that are determined relevant to the investigation (§93.310(h))</w:t>
            </w:r>
          </w:p>
          <w:p w:rsidR="00ED220D" w:rsidRPr="00B2211B" w:rsidRDefault="00ED220D" w:rsidP="00412EF8">
            <w:pPr>
              <w:rPr>
                <w:rFonts w:cs="Times New Roman"/>
                <w:sz w:val="20"/>
                <w:szCs w:val="20"/>
              </w:rPr>
            </w:pPr>
          </w:p>
        </w:tc>
      </w:tr>
      <w:tr w:rsidR="00ED220D" w:rsidRPr="00B2211B" w:rsidTr="00ED220D">
        <w:tc>
          <w:tcPr>
            <w:tcW w:w="1350" w:type="dxa"/>
          </w:tcPr>
          <w:p w:rsidR="00ED220D" w:rsidRPr="00B2211B" w:rsidRDefault="00ED220D" w:rsidP="003504F8">
            <w:pPr>
              <w:rPr>
                <w:rFonts w:cs="Times New Roman"/>
                <w:sz w:val="20"/>
                <w:szCs w:val="20"/>
              </w:rPr>
            </w:pPr>
          </w:p>
        </w:tc>
        <w:tc>
          <w:tcPr>
            <w:tcW w:w="9090" w:type="dxa"/>
          </w:tcPr>
          <w:p w:rsidR="00ED220D" w:rsidRPr="00B2211B" w:rsidRDefault="00461D0C" w:rsidP="003504F8">
            <w:pPr>
              <w:rPr>
                <w:rFonts w:cs="Times New Roman"/>
                <w:sz w:val="20"/>
                <w:szCs w:val="20"/>
              </w:rPr>
            </w:pPr>
            <w:r>
              <w:rPr>
                <w:rFonts w:cs="Times New Roman"/>
                <w:sz w:val="20"/>
                <w:szCs w:val="20"/>
              </w:rPr>
              <w:t xml:space="preserve">37.  </w:t>
            </w:r>
            <w:r w:rsidR="00ED220D" w:rsidRPr="00B2211B">
              <w:rPr>
                <w:rFonts w:cs="Times New Roman"/>
                <w:sz w:val="20"/>
                <w:szCs w:val="20"/>
              </w:rPr>
              <w:t>Investigation report, including (§93.313):</w:t>
            </w:r>
          </w:p>
          <w:p w:rsidR="00ED220D" w:rsidRPr="00B2211B" w:rsidRDefault="002337F4" w:rsidP="003504F8">
            <w:pPr>
              <w:pStyle w:val="ListParagraph"/>
              <w:numPr>
                <w:ilvl w:val="0"/>
                <w:numId w:val="4"/>
              </w:numPr>
              <w:rPr>
                <w:rFonts w:cs="Times New Roman"/>
                <w:sz w:val="20"/>
                <w:szCs w:val="20"/>
              </w:rPr>
            </w:pPr>
            <w:sdt>
              <w:sdtPr>
                <w:rPr>
                  <w:rFonts w:cs="Times New Roman"/>
                  <w:sz w:val="20"/>
                  <w:szCs w:val="20"/>
                </w:rPr>
                <w:id w:val="-1516218538"/>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Describe the nature of the allegations of research misconduct </w:t>
            </w:r>
          </w:p>
          <w:p w:rsidR="00ED220D" w:rsidRPr="00B2211B" w:rsidRDefault="002337F4" w:rsidP="003504F8">
            <w:pPr>
              <w:pStyle w:val="ListParagraph"/>
              <w:numPr>
                <w:ilvl w:val="0"/>
                <w:numId w:val="4"/>
              </w:numPr>
              <w:rPr>
                <w:rFonts w:cs="Times New Roman"/>
                <w:sz w:val="20"/>
                <w:szCs w:val="20"/>
              </w:rPr>
            </w:pPr>
            <w:sdt>
              <w:sdtPr>
                <w:rPr>
                  <w:rFonts w:cs="Times New Roman"/>
                  <w:sz w:val="20"/>
                  <w:szCs w:val="20"/>
                </w:rPr>
                <w:id w:val="-402451325"/>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Describe and document the PHS support (e.g., grant numbers, grant applications, contracts, and publications listing PHS support)</w:t>
            </w:r>
          </w:p>
          <w:p w:rsidR="00ED220D" w:rsidRPr="00B2211B" w:rsidRDefault="002337F4" w:rsidP="003504F8">
            <w:pPr>
              <w:pStyle w:val="ListParagraph"/>
              <w:numPr>
                <w:ilvl w:val="0"/>
                <w:numId w:val="4"/>
              </w:numPr>
              <w:rPr>
                <w:rFonts w:cs="Times New Roman"/>
                <w:sz w:val="20"/>
                <w:szCs w:val="20"/>
              </w:rPr>
            </w:pPr>
            <w:sdt>
              <w:sdtPr>
                <w:rPr>
                  <w:rFonts w:cs="Times New Roman"/>
                  <w:sz w:val="20"/>
                  <w:szCs w:val="20"/>
                </w:rPr>
                <w:id w:val="-1000425852"/>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Institutional charge (e.g., description of the specific allegations of research misconduct for consideration in the investigation)</w:t>
            </w:r>
            <w:r w:rsidR="00ED220D" w:rsidRPr="00B2211B" w:rsidDel="008464F9">
              <w:rPr>
                <w:rFonts w:cs="Times New Roman"/>
                <w:sz w:val="20"/>
                <w:szCs w:val="20"/>
              </w:rPr>
              <w:t xml:space="preserve"> </w:t>
            </w:r>
          </w:p>
          <w:p w:rsidR="00ED220D" w:rsidRPr="00B2211B" w:rsidRDefault="002337F4" w:rsidP="003504F8">
            <w:pPr>
              <w:pStyle w:val="ListParagraph"/>
              <w:numPr>
                <w:ilvl w:val="0"/>
                <w:numId w:val="4"/>
              </w:numPr>
              <w:rPr>
                <w:rFonts w:cs="Times New Roman"/>
                <w:sz w:val="20"/>
                <w:szCs w:val="20"/>
              </w:rPr>
            </w:pPr>
            <w:sdt>
              <w:sdtPr>
                <w:rPr>
                  <w:rFonts w:cs="Times New Roman"/>
                  <w:sz w:val="20"/>
                  <w:szCs w:val="20"/>
                </w:rPr>
                <w:id w:val="1849210367"/>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Copy of the institutional policies and procedures under which the investigation was conducted</w:t>
            </w:r>
            <w:r w:rsidR="00ED220D" w:rsidRPr="00B2211B" w:rsidDel="008464F9">
              <w:rPr>
                <w:rFonts w:cs="Times New Roman"/>
                <w:sz w:val="20"/>
                <w:szCs w:val="20"/>
              </w:rPr>
              <w:t xml:space="preserve"> </w:t>
            </w:r>
          </w:p>
          <w:p w:rsidR="00ED220D" w:rsidRPr="00B2211B" w:rsidRDefault="002337F4" w:rsidP="003504F8">
            <w:pPr>
              <w:pStyle w:val="ListParagraph"/>
              <w:numPr>
                <w:ilvl w:val="0"/>
                <w:numId w:val="4"/>
              </w:numPr>
              <w:rPr>
                <w:rFonts w:cs="Times New Roman"/>
                <w:sz w:val="20"/>
                <w:szCs w:val="20"/>
              </w:rPr>
            </w:pPr>
            <w:sdt>
              <w:sdtPr>
                <w:rPr>
                  <w:rFonts w:cs="Times New Roman"/>
                  <w:sz w:val="20"/>
                  <w:szCs w:val="20"/>
                </w:rPr>
                <w:id w:val="-901521650"/>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Research records and evidence. Identify and summarize the research records and evidence </w:t>
            </w:r>
            <w:r w:rsidR="00ED220D" w:rsidRPr="00B2211B">
              <w:rPr>
                <w:rFonts w:cs="Times New Roman"/>
                <w:sz w:val="20"/>
                <w:szCs w:val="20"/>
              </w:rPr>
              <w:lastRenderedPageBreak/>
              <w:t>reviewed, and identify any evidence taken into custody but not reviewed</w:t>
            </w:r>
          </w:p>
          <w:p w:rsidR="00ED220D" w:rsidRPr="00B2211B" w:rsidRDefault="002337F4" w:rsidP="003504F8">
            <w:pPr>
              <w:pStyle w:val="ListParagraph"/>
              <w:numPr>
                <w:ilvl w:val="0"/>
                <w:numId w:val="4"/>
              </w:numPr>
              <w:rPr>
                <w:rFonts w:cs="Times New Roman"/>
                <w:sz w:val="20"/>
                <w:szCs w:val="20"/>
              </w:rPr>
            </w:pPr>
            <w:sdt>
              <w:sdtPr>
                <w:rPr>
                  <w:rFonts w:cs="Times New Roman"/>
                  <w:sz w:val="20"/>
                  <w:szCs w:val="20"/>
                </w:rPr>
                <w:id w:val="51355077"/>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Statement of findings. For each separate allegation of research misconduct identified during the investigation, provide a finding as to whether research misconduct did or did not occur, and if so--</w:t>
            </w:r>
          </w:p>
          <w:p w:rsidR="00ED220D" w:rsidRPr="00B2211B" w:rsidRDefault="002337F4" w:rsidP="003504F8">
            <w:pPr>
              <w:pStyle w:val="ListParagraph"/>
              <w:numPr>
                <w:ilvl w:val="1"/>
                <w:numId w:val="4"/>
              </w:numPr>
              <w:rPr>
                <w:rFonts w:cs="Times New Roman"/>
                <w:sz w:val="20"/>
                <w:szCs w:val="20"/>
              </w:rPr>
            </w:pPr>
            <w:sdt>
              <w:sdtPr>
                <w:rPr>
                  <w:rFonts w:cs="Times New Roman"/>
                  <w:sz w:val="20"/>
                  <w:szCs w:val="20"/>
                </w:rPr>
                <w:id w:val="946042780"/>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Identify whether the research misconduct was falsification, fabrication, or plagiarism, and if it was intentional, knowing, or in reckless disregard;</w:t>
            </w:r>
          </w:p>
          <w:p w:rsidR="00ED220D" w:rsidRPr="00B2211B" w:rsidRDefault="002337F4" w:rsidP="003504F8">
            <w:pPr>
              <w:pStyle w:val="ListParagraph"/>
              <w:numPr>
                <w:ilvl w:val="1"/>
                <w:numId w:val="4"/>
              </w:numPr>
              <w:rPr>
                <w:rFonts w:cs="Times New Roman"/>
                <w:sz w:val="20"/>
                <w:szCs w:val="20"/>
              </w:rPr>
            </w:pPr>
            <w:sdt>
              <w:sdtPr>
                <w:rPr>
                  <w:rFonts w:cs="Times New Roman"/>
                  <w:sz w:val="20"/>
                  <w:szCs w:val="20"/>
                </w:rPr>
                <w:id w:val="-1273543151"/>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Summarize the facts and the analysis which support the conclusion and consider the merits of any reasonable explanation by the respondent;</w:t>
            </w:r>
            <w:r w:rsidR="00ED220D" w:rsidRPr="00B2211B" w:rsidDel="00367A5B">
              <w:rPr>
                <w:rFonts w:cs="Times New Roman"/>
                <w:sz w:val="20"/>
                <w:szCs w:val="20"/>
              </w:rPr>
              <w:t xml:space="preserve"> </w:t>
            </w:r>
          </w:p>
          <w:p w:rsidR="00ED220D" w:rsidRPr="00B2211B" w:rsidRDefault="002337F4" w:rsidP="003504F8">
            <w:pPr>
              <w:pStyle w:val="ListParagraph"/>
              <w:numPr>
                <w:ilvl w:val="1"/>
                <w:numId w:val="4"/>
              </w:numPr>
              <w:rPr>
                <w:rFonts w:cs="Times New Roman"/>
                <w:sz w:val="20"/>
                <w:szCs w:val="20"/>
              </w:rPr>
            </w:pPr>
            <w:sdt>
              <w:sdtPr>
                <w:rPr>
                  <w:rFonts w:cs="Times New Roman"/>
                  <w:sz w:val="20"/>
                  <w:szCs w:val="20"/>
                </w:rPr>
                <w:id w:val="-1941434104"/>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Identify the specific PHS support;</w:t>
            </w:r>
          </w:p>
          <w:p w:rsidR="00ED220D" w:rsidRPr="00B2211B" w:rsidRDefault="002337F4" w:rsidP="003504F8">
            <w:pPr>
              <w:pStyle w:val="ListParagraph"/>
              <w:numPr>
                <w:ilvl w:val="1"/>
                <w:numId w:val="4"/>
              </w:numPr>
              <w:rPr>
                <w:rFonts w:cs="Times New Roman"/>
                <w:sz w:val="20"/>
                <w:szCs w:val="20"/>
              </w:rPr>
            </w:pPr>
            <w:sdt>
              <w:sdtPr>
                <w:rPr>
                  <w:rFonts w:cs="Times New Roman"/>
                  <w:sz w:val="20"/>
                  <w:szCs w:val="20"/>
                </w:rPr>
                <w:id w:val="1002086619"/>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Identify whether any publications need correction or retraction;</w:t>
            </w:r>
          </w:p>
          <w:p w:rsidR="00ED220D" w:rsidRPr="00B2211B" w:rsidRDefault="002337F4" w:rsidP="003504F8">
            <w:pPr>
              <w:pStyle w:val="ListParagraph"/>
              <w:numPr>
                <w:ilvl w:val="1"/>
                <w:numId w:val="4"/>
              </w:numPr>
              <w:rPr>
                <w:rFonts w:cs="Times New Roman"/>
                <w:sz w:val="20"/>
                <w:szCs w:val="20"/>
              </w:rPr>
            </w:pPr>
            <w:sdt>
              <w:sdtPr>
                <w:rPr>
                  <w:rFonts w:cs="Times New Roman"/>
                  <w:sz w:val="20"/>
                  <w:szCs w:val="20"/>
                </w:rPr>
                <w:id w:val="-867823360"/>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Identify the person(s) responsible for the misconduct; and</w:t>
            </w:r>
            <w:r w:rsidR="00ED220D" w:rsidRPr="00B2211B" w:rsidDel="00C12CEA">
              <w:rPr>
                <w:rFonts w:cs="Times New Roman"/>
                <w:sz w:val="20"/>
                <w:szCs w:val="20"/>
              </w:rPr>
              <w:t xml:space="preserve"> </w:t>
            </w:r>
          </w:p>
          <w:p w:rsidR="00ED220D" w:rsidRPr="00B2211B" w:rsidRDefault="002337F4" w:rsidP="003504F8">
            <w:pPr>
              <w:pStyle w:val="ListParagraph"/>
              <w:numPr>
                <w:ilvl w:val="1"/>
                <w:numId w:val="4"/>
              </w:numPr>
              <w:rPr>
                <w:rFonts w:cs="Times New Roman"/>
                <w:sz w:val="20"/>
                <w:szCs w:val="20"/>
              </w:rPr>
            </w:pPr>
            <w:sdt>
              <w:sdtPr>
                <w:rPr>
                  <w:rFonts w:cs="Times New Roman"/>
                  <w:sz w:val="20"/>
                  <w:szCs w:val="20"/>
                </w:rPr>
                <w:id w:val="1872795051"/>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List any current support or known applications or proposals for </w:t>
            </w:r>
          </w:p>
          <w:p w:rsidR="00ED220D" w:rsidRPr="00B2211B" w:rsidRDefault="00ED220D" w:rsidP="003504F8">
            <w:pPr>
              <w:pStyle w:val="ListParagraph"/>
              <w:ind w:left="1440"/>
              <w:rPr>
                <w:sz w:val="20"/>
                <w:szCs w:val="20"/>
              </w:rPr>
            </w:pPr>
            <w:r w:rsidRPr="00B2211B">
              <w:rPr>
                <w:rFonts w:cs="Times New Roman"/>
                <w:sz w:val="20"/>
                <w:szCs w:val="20"/>
              </w:rPr>
              <w:t>support that the respondent has pending with non-PHS Federal agencies</w:t>
            </w:r>
            <w:r w:rsidRPr="00B2211B" w:rsidDel="00C12CEA">
              <w:rPr>
                <w:rFonts w:cs="Times New Roman"/>
                <w:sz w:val="20"/>
                <w:szCs w:val="20"/>
              </w:rPr>
              <w:t xml:space="preserve"> </w:t>
            </w:r>
          </w:p>
          <w:p w:rsidR="00ED220D" w:rsidRPr="00A07023" w:rsidRDefault="002337F4" w:rsidP="00A07023">
            <w:pPr>
              <w:pStyle w:val="ListParagraph"/>
              <w:numPr>
                <w:ilvl w:val="0"/>
                <w:numId w:val="4"/>
              </w:numPr>
              <w:rPr>
                <w:rFonts w:cs="Times New Roman"/>
                <w:sz w:val="20"/>
                <w:szCs w:val="20"/>
              </w:rPr>
            </w:pPr>
            <w:sdt>
              <w:sdtPr>
                <w:rPr>
                  <w:rFonts w:cs="Times New Roman"/>
                  <w:sz w:val="20"/>
                  <w:szCs w:val="20"/>
                </w:rPr>
                <w:id w:val="-450864580"/>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Comments. Include and consider any comments made by the respondent and complainant on the draft investigation report</w:t>
            </w:r>
          </w:p>
          <w:p w:rsidR="00ED220D" w:rsidRDefault="002337F4" w:rsidP="003504F8">
            <w:pPr>
              <w:pStyle w:val="ListParagraph"/>
              <w:numPr>
                <w:ilvl w:val="0"/>
                <w:numId w:val="4"/>
              </w:numPr>
              <w:rPr>
                <w:rFonts w:cs="Times New Roman"/>
                <w:sz w:val="20"/>
                <w:szCs w:val="20"/>
              </w:rPr>
            </w:pPr>
            <w:sdt>
              <w:sdtPr>
                <w:rPr>
                  <w:rFonts w:cs="Times New Roman"/>
                  <w:sz w:val="20"/>
                  <w:szCs w:val="20"/>
                </w:rPr>
                <w:id w:val="442586443"/>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Maintain and provide records. Maintain and provide to ORI upon request all relevant research records and records of the institution's research misconduct proceeding, including results of all interviews and the transcripts or recordings of such interviews</w:t>
            </w:r>
          </w:p>
          <w:p w:rsidR="00ED220D" w:rsidRPr="00A07023" w:rsidRDefault="00ED220D" w:rsidP="00A07023">
            <w:pPr>
              <w:pStyle w:val="ListParagraph"/>
              <w:rPr>
                <w:rFonts w:cs="Times New Roman"/>
                <w:b/>
                <w:color w:val="FF0000"/>
                <w:sz w:val="20"/>
                <w:szCs w:val="20"/>
              </w:rPr>
            </w:pPr>
          </w:p>
        </w:tc>
      </w:tr>
      <w:tr w:rsidR="00ED220D" w:rsidRPr="00B2211B" w:rsidTr="00ED220D">
        <w:tc>
          <w:tcPr>
            <w:tcW w:w="1350" w:type="dxa"/>
          </w:tcPr>
          <w:p w:rsidR="00ED220D" w:rsidRPr="00B2211B" w:rsidRDefault="00ED220D" w:rsidP="003504F8">
            <w:pPr>
              <w:ind w:left="72"/>
              <w:rPr>
                <w:rFonts w:cs="Times New Roman"/>
                <w:sz w:val="20"/>
                <w:szCs w:val="20"/>
              </w:rPr>
            </w:pPr>
          </w:p>
        </w:tc>
        <w:tc>
          <w:tcPr>
            <w:tcW w:w="9090" w:type="dxa"/>
          </w:tcPr>
          <w:p w:rsidR="00ED220D" w:rsidRPr="00B2211B" w:rsidRDefault="00461D0C" w:rsidP="003504F8">
            <w:pPr>
              <w:ind w:left="72"/>
              <w:rPr>
                <w:rFonts w:cs="Times New Roman"/>
                <w:sz w:val="20"/>
                <w:szCs w:val="20"/>
              </w:rPr>
            </w:pPr>
            <w:r>
              <w:rPr>
                <w:rFonts w:cs="Times New Roman"/>
                <w:sz w:val="20"/>
                <w:szCs w:val="20"/>
              </w:rPr>
              <w:t xml:space="preserve">38.  </w:t>
            </w:r>
            <w:r w:rsidR="00ED220D" w:rsidRPr="00B2211B">
              <w:rPr>
                <w:rFonts w:cs="Times New Roman"/>
                <w:sz w:val="20"/>
                <w:szCs w:val="20"/>
              </w:rPr>
              <w:t>The institution must give ORI the following (§93.315):</w:t>
            </w:r>
          </w:p>
          <w:p w:rsidR="00ED220D" w:rsidRPr="00B2211B" w:rsidRDefault="002337F4" w:rsidP="003504F8">
            <w:pPr>
              <w:pStyle w:val="ListParagraph"/>
              <w:numPr>
                <w:ilvl w:val="0"/>
                <w:numId w:val="9"/>
              </w:numPr>
              <w:rPr>
                <w:rFonts w:cs="Times New Roman"/>
                <w:sz w:val="20"/>
                <w:szCs w:val="20"/>
              </w:rPr>
            </w:pPr>
            <w:sdt>
              <w:sdtPr>
                <w:rPr>
                  <w:rFonts w:cs="Times New Roman"/>
                  <w:sz w:val="20"/>
                  <w:szCs w:val="20"/>
                </w:rPr>
                <w:id w:val="1181627520"/>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Investigation Report. Include a copy of the report, all attachments, and any appeals</w:t>
            </w:r>
          </w:p>
          <w:p w:rsidR="00ED220D" w:rsidRPr="00B2211B" w:rsidRDefault="002337F4" w:rsidP="003504F8">
            <w:pPr>
              <w:pStyle w:val="ListParagraph"/>
              <w:numPr>
                <w:ilvl w:val="0"/>
                <w:numId w:val="9"/>
              </w:numPr>
              <w:rPr>
                <w:rFonts w:cs="Times New Roman"/>
                <w:sz w:val="20"/>
                <w:szCs w:val="20"/>
              </w:rPr>
            </w:pPr>
            <w:sdt>
              <w:sdtPr>
                <w:rPr>
                  <w:rFonts w:cs="Times New Roman"/>
                  <w:sz w:val="20"/>
                  <w:szCs w:val="20"/>
                </w:rPr>
                <w:id w:val="-622082074"/>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Final institutional action. State whether the institution found research misconduct, and if so, who committed the misconduct</w:t>
            </w:r>
          </w:p>
          <w:p w:rsidR="00ED220D" w:rsidRPr="00B2211B" w:rsidRDefault="002337F4" w:rsidP="003504F8">
            <w:pPr>
              <w:pStyle w:val="ListParagraph"/>
              <w:numPr>
                <w:ilvl w:val="0"/>
                <w:numId w:val="9"/>
              </w:numPr>
              <w:rPr>
                <w:rFonts w:cs="Times New Roman"/>
                <w:sz w:val="20"/>
                <w:szCs w:val="20"/>
              </w:rPr>
            </w:pPr>
            <w:sdt>
              <w:sdtPr>
                <w:rPr>
                  <w:rFonts w:cs="Times New Roman"/>
                  <w:sz w:val="20"/>
                  <w:szCs w:val="20"/>
                </w:rPr>
                <w:id w:val="-917711998"/>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Findings. State whether the institution accepts the investigation's findings.</w:t>
            </w:r>
          </w:p>
          <w:p w:rsidR="00ED220D" w:rsidRPr="00B2211B" w:rsidRDefault="002337F4" w:rsidP="003504F8">
            <w:pPr>
              <w:pStyle w:val="ListParagraph"/>
              <w:numPr>
                <w:ilvl w:val="0"/>
                <w:numId w:val="9"/>
              </w:numPr>
              <w:rPr>
                <w:rFonts w:cs="Times New Roman"/>
                <w:sz w:val="20"/>
                <w:szCs w:val="20"/>
              </w:rPr>
            </w:pPr>
            <w:sdt>
              <w:sdtPr>
                <w:rPr>
                  <w:rFonts w:cs="Times New Roman"/>
                  <w:sz w:val="20"/>
                  <w:szCs w:val="20"/>
                </w:rPr>
                <w:id w:val="2034686243"/>
                <w14:checkbox>
                  <w14:checked w14:val="0"/>
                  <w14:checkedState w14:val="2612" w14:font="MS Gothic"/>
                  <w14:uncheckedState w14:val="2610" w14:font="MS Gothic"/>
                </w14:checkbox>
              </w:sdtPr>
              <w:sdtEndPr/>
              <w:sdtContent>
                <w:r w:rsidR="00ED220D">
                  <w:rPr>
                    <w:rFonts w:ascii="MS Gothic" w:eastAsia="MS Gothic" w:hAnsi="MS Gothic" w:cs="Times New Roman" w:hint="eastAsia"/>
                    <w:sz w:val="20"/>
                    <w:szCs w:val="20"/>
                  </w:rPr>
                  <w:t>☐</w:t>
                </w:r>
              </w:sdtContent>
            </w:sdt>
            <w:r w:rsidR="00ED220D" w:rsidRPr="00B2211B">
              <w:rPr>
                <w:rFonts w:cs="Times New Roman"/>
                <w:sz w:val="20"/>
                <w:szCs w:val="20"/>
              </w:rPr>
              <w:t xml:space="preserve">  Institutional administrative actions. Describe any pending or completed administrative actions against the respondent</w:t>
            </w:r>
          </w:p>
        </w:tc>
      </w:tr>
      <w:tr w:rsidR="00ED220D" w:rsidRPr="003504F8" w:rsidTr="00ED220D">
        <w:tc>
          <w:tcPr>
            <w:tcW w:w="1350" w:type="dxa"/>
          </w:tcPr>
          <w:p w:rsidR="00ED220D" w:rsidRPr="00B2211B" w:rsidRDefault="00ED220D" w:rsidP="003504F8">
            <w:pPr>
              <w:rPr>
                <w:rFonts w:cs="Times New Roman"/>
                <w:sz w:val="20"/>
                <w:szCs w:val="20"/>
              </w:rPr>
            </w:pPr>
          </w:p>
        </w:tc>
        <w:tc>
          <w:tcPr>
            <w:tcW w:w="9090" w:type="dxa"/>
          </w:tcPr>
          <w:p w:rsidR="00ED220D" w:rsidRPr="003504F8" w:rsidRDefault="00461D0C" w:rsidP="003504F8">
            <w:pPr>
              <w:rPr>
                <w:rFonts w:cs="Times New Roman"/>
                <w:sz w:val="20"/>
                <w:szCs w:val="20"/>
              </w:rPr>
            </w:pPr>
            <w:r>
              <w:rPr>
                <w:rFonts w:cs="Times New Roman"/>
                <w:sz w:val="20"/>
                <w:szCs w:val="20"/>
              </w:rPr>
              <w:t xml:space="preserve">39.  </w:t>
            </w:r>
            <w:r w:rsidR="00ED220D" w:rsidRPr="00B2211B">
              <w:rPr>
                <w:rFonts w:cs="Times New Roman"/>
                <w:sz w:val="20"/>
                <w:szCs w:val="20"/>
              </w:rPr>
              <w:t>Maintain records of research misconduct proceedings in a secure manner for 7 years after completion of the proceeding or the completion of any PHS proceeding involving the research misconduct allegation, whichever is later</w:t>
            </w:r>
            <w:r w:rsidR="00ED220D" w:rsidRPr="00B2211B" w:rsidDel="00D101E6">
              <w:rPr>
                <w:rFonts w:cs="Times New Roman"/>
                <w:sz w:val="20"/>
                <w:szCs w:val="20"/>
              </w:rPr>
              <w:t xml:space="preserve"> </w:t>
            </w:r>
            <w:r w:rsidR="00ED220D" w:rsidRPr="00B2211B">
              <w:rPr>
                <w:rFonts w:cs="Times New Roman"/>
                <w:sz w:val="20"/>
                <w:szCs w:val="20"/>
              </w:rPr>
              <w:t>(§93.317(b))</w:t>
            </w:r>
          </w:p>
        </w:tc>
      </w:tr>
    </w:tbl>
    <w:p w:rsidR="00753B9A" w:rsidRPr="003504F8" w:rsidRDefault="00753B9A" w:rsidP="003B5D72">
      <w:pPr>
        <w:spacing w:after="0" w:line="240" w:lineRule="auto"/>
        <w:rPr>
          <w:rFonts w:cs="Times New Roman"/>
          <w:sz w:val="20"/>
          <w:szCs w:val="20"/>
        </w:rPr>
      </w:pPr>
    </w:p>
    <w:sectPr w:rsidR="00753B9A" w:rsidRPr="003504F8" w:rsidSect="009C0A7A">
      <w:footerReference w:type="default" r:id="rId7"/>
      <w:headerReference w:type="first" r:id="rId8"/>
      <w:footerReference w:type="first" r:id="rId9"/>
      <w:pgSz w:w="12240" w:h="15840"/>
      <w:pgMar w:top="1170" w:right="1080" w:bottom="99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6AB" w:rsidRDefault="006436AB" w:rsidP="00D37442">
      <w:pPr>
        <w:spacing w:after="0" w:line="240" w:lineRule="auto"/>
      </w:pPr>
      <w:r>
        <w:separator/>
      </w:r>
    </w:p>
  </w:endnote>
  <w:endnote w:type="continuationSeparator" w:id="0">
    <w:p w:rsidR="006436AB" w:rsidRDefault="006436AB" w:rsidP="00D3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260662"/>
      <w:docPartObj>
        <w:docPartGallery w:val="Page Numbers (Bottom of Page)"/>
        <w:docPartUnique/>
      </w:docPartObj>
    </w:sdtPr>
    <w:sdtEndPr>
      <w:rPr>
        <w:noProof/>
      </w:rPr>
    </w:sdtEndPr>
    <w:sdtContent>
      <w:p w:rsidR="00C00539" w:rsidRDefault="00C00539">
        <w:pPr>
          <w:pStyle w:val="Footer"/>
          <w:jc w:val="center"/>
        </w:pPr>
        <w:r>
          <w:fldChar w:fldCharType="begin"/>
        </w:r>
        <w:r>
          <w:instrText xml:space="preserve"> PAGE   \* MERGEFORMAT </w:instrText>
        </w:r>
        <w:r>
          <w:fldChar w:fldCharType="separate"/>
        </w:r>
        <w:r w:rsidR="002337F4">
          <w:rPr>
            <w:noProof/>
          </w:rPr>
          <w:t>2</w:t>
        </w:r>
        <w:r>
          <w:rPr>
            <w:noProof/>
          </w:rPr>
          <w:fldChar w:fldCharType="end"/>
        </w:r>
      </w:p>
    </w:sdtContent>
  </w:sdt>
  <w:p w:rsidR="00C00539" w:rsidRPr="009C0A7A" w:rsidRDefault="009C0A7A" w:rsidP="009C0A7A">
    <w:pPr>
      <w:pStyle w:val="Footer"/>
      <w:tabs>
        <w:tab w:val="clear" w:pos="4680"/>
        <w:tab w:val="center" w:pos="3870"/>
      </w:tabs>
      <w:rPr>
        <w:color w:val="808080" w:themeColor="background1" w:themeShade="80"/>
        <w:sz w:val="16"/>
      </w:rPr>
    </w:pPr>
    <w:r w:rsidRPr="009C0A7A">
      <w:rPr>
        <w:color w:val="808080" w:themeColor="background1" w:themeShade="80"/>
        <w:sz w:val="16"/>
      </w:rPr>
      <w:t>U.S. Office of Research Integrity</w:t>
    </w:r>
    <w:r>
      <w:rPr>
        <w:color w:val="808080" w:themeColor="background1" w:themeShade="80"/>
        <w:sz w:val="16"/>
      </w:rPr>
      <w:tab/>
    </w:r>
    <w:r>
      <w:rPr>
        <w:color w:val="808080" w:themeColor="background1" w:themeShade="80"/>
        <w:sz w:val="16"/>
      </w:rPr>
      <w:tab/>
      <w:t xml:space="preserve">Checklist: Policies and Procedures for Handling Research Misconduct Allegations </w:t>
    </w:r>
    <w:r>
      <w:rPr>
        <w:color w:val="808080" w:themeColor="background1" w:themeShade="80"/>
        <w:sz w:val="16"/>
      </w:rPr>
      <w:br/>
    </w:r>
    <w:hyperlink r:id="rId1" w:history="1">
      <w:r w:rsidRPr="00951EF4">
        <w:rPr>
          <w:rStyle w:val="Hyperlink"/>
          <w:sz w:val="16"/>
          <w14:textFill>
            <w14:solidFill>
              <w14:srgbClr w14:val="0000FF">
                <w14:lumMod w14:val="50000"/>
              </w14:srgbClr>
            </w14:solidFill>
          </w14:textFill>
        </w:rPr>
        <w:t>http://ori.hhs.gov/</w:t>
      </w:r>
    </w:hyperlink>
    <w:r>
      <w:rPr>
        <w:color w:val="808080" w:themeColor="background1" w:themeShade="80"/>
        <w:sz w:val="16"/>
      </w:rPr>
      <w:tab/>
    </w:r>
    <w:r>
      <w:rPr>
        <w:color w:val="808080" w:themeColor="background1" w:themeShade="80"/>
        <w:sz w:val="16"/>
      </w:rPr>
      <w:tab/>
      <w:t xml:space="preserve">Last Modified:  </w:t>
    </w:r>
    <w:r w:rsidR="00D91292">
      <w:rPr>
        <w:color w:val="808080" w:themeColor="background1" w:themeShade="80"/>
        <w:sz w:val="16"/>
      </w:rPr>
      <w:t>11</w:t>
    </w:r>
    <w:r>
      <w:rPr>
        <w:color w:val="808080" w:themeColor="background1" w:themeShade="80"/>
        <w:sz w:val="16"/>
      </w:rPr>
      <w:t>/</w:t>
    </w:r>
    <w:r w:rsidR="00D91292">
      <w:rPr>
        <w:color w:val="808080" w:themeColor="background1" w:themeShade="80"/>
        <w:sz w:val="16"/>
      </w:rPr>
      <w:t>26</w:t>
    </w:r>
    <w:r>
      <w:rPr>
        <w:color w:val="808080" w:themeColor="background1" w:themeShade="80"/>
        <w:sz w:val="16"/>
      </w:rPr>
      <w:t>/201</w:t>
    </w:r>
    <w:r w:rsidR="00D91292">
      <w:rPr>
        <w:color w:val="808080" w:themeColor="background1" w:themeShade="80"/>
        <w:sz w:val="16"/>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003119994"/>
      <w:docPartObj>
        <w:docPartGallery w:val="Page Numbers (Bottom of Page)"/>
        <w:docPartUnique/>
      </w:docPartObj>
    </w:sdtPr>
    <w:sdtEndPr>
      <w:rPr>
        <w:noProof/>
      </w:rPr>
    </w:sdtEndPr>
    <w:sdtContent>
      <w:p w:rsidR="00C00539" w:rsidRPr="00B1421C" w:rsidRDefault="00C00539" w:rsidP="00B1421C">
        <w:pPr>
          <w:pStyle w:val="Footer"/>
          <w:jc w:val="right"/>
          <w:rPr>
            <w:sz w:val="18"/>
          </w:rPr>
        </w:pPr>
        <w:r w:rsidRPr="00B1421C">
          <w:rPr>
            <w:sz w:val="18"/>
          </w:rPr>
          <w:fldChar w:fldCharType="begin"/>
        </w:r>
        <w:r w:rsidRPr="00B1421C">
          <w:rPr>
            <w:sz w:val="18"/>
          </w:rPr>
          <w:instrText xml:space="preserve"> PAGE   \* MERGEFORMAT </w:instrText>
        </w:r>
        <w:r w:rsidRPr="00B1421C">
          <w:rPr>
            <w:sz w:val="18"/>
          </w:rPr>
          <w:fldChar w:fldCharType="separate"/>
        </w:r>
        <w:r w:rsidR="009C0A7A">
          <w:rPr>
            <w:noProof/>
            <w:sz w:val="18"/>
          </w:rPr>
          <w:t>1</w:t>
        </w:r>
        <w:r w:rsidRPr="00B1421C">
          <w:rPr>
            <w:noProof/>
            <w:sz w:val="18"/>
          </w:rPr>
          <w:fldChar w:fldCharType="end"/>
        </w:r>
      </w:p>
    </w:sdtContent>
  </w:sdt>
  <w:p w:rsidR="00C00539" w:rsidRDefault="009C0A7A">
    <w:pPr>
      <w:pStyle w:val="Footer"/>
      <w:rPr>
        <w:sz w:val="18"/>
      </w:rPr>
    </w:pPr>
    <w:r>
      <w:rPr>
        <w:sz w:val="18"/>
      </w:rPr>
      <w:t xml:space="preserve">U.S. Office of Research Integrity: </w:t>
    </w:r>
    <w:r w:rsidR="00C00539" w:rsidRPr="00B1421C">
      <w:rPr>
        <w:sz w:val="18"/>
      </w:rPr>
      <w:t>Policy Review Checklist</w:t>
    </w:r>
  </w:p>
  <w:p w:rsidR="00C00539" w:rsidRPr="00B1421C" w:rsidRDefault="00C00539">
    <w:pPr>
      <w:pStyle w:val="Footer"/>
      <w:rPr>
        <w:sz w:val="18"/>
      </w:rPr>
    </w:pPr>
    <w:r>
      <w:rPr>
        <w:sz w:val="18"/>
      </w:rPr>
      <w:t xml:space="preserve">Last Modified: </w:t>
    </w:r>
    <w:r w:rsidR="00A43477">
      <w:rPr>
        <w:sz w:val="18"/>
      </w:rPr>
      <w:t>02</w:t>
    </w:r>
    <w:r>
      <w:rPr>
        <w:sz w:val="18"/>
      </w:rPr>
      <w:t>/</w:t>
    </w:r>
    <w:r w:rsidR="00ED220D">
      <w:rPr>
        <w:sz w:val="18"/>
      </w:rPr>
      <w:t>2</w:t>
    </w:r>
    <w:r w:rsidR="00A43477">
      <w:rPr>
        <w:sz w:val="18"/>
      </w:rPr>
      <w:t>2</w:t>
    </w:r>
    <w:r>
      <w:rPr>
        <w:sz w:val="18"/>
      </w:rPr>
      <w:t>/20</w:t>
    </w:r>
    <w:r w:rsidR="00ED220D">
      <w:rPr>
        <w:sz w:val="18"/>
      </w:rPr>
      <w:t>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6AB" w:rsidRDefault="006436AB" w:rsidP="00D37442">
      <w:pPr>
        <w:spacing w:after="0" w:line="240" w:lineRule="auto"/>
      </w:pPr>
      <w:r>
        <w:separator/>
      </w:r>
    </w:p>
  </w:footnote>
  <w:footnote w:type="continuationSeparator" w:id="0">
    <w:p w:rsidR="006436AB" w:rsidRDefault="006436AB" w:rsidP="00D37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4C2" w:rsidRDefault="002454C2" w:rsidP="002454C2">
    <w:pPr>
      <w:pStyle w:val="Header"/>
      <w:jc w:val="right"/>
    </w:pPr>
    <w:r>
      <w:rPr>
        <w:rFonts w:cs="Times New Roman"/>
        <w:smallCaps/>
        <w:spacing w:val="20"/>
        <w:sz w:val="24"/>
        <w:szCs w:val="20"/>
      </w:rPr>
      <w:t>U.S. Department of Health and Human Services</w:t>
    </w:r>
    <w:r>
      <w:rPr>
        <w:rFonts w:cs="Times New Roman"/>
        <w:smallCaps/>
        <w:spacing w:val="20"/>
        <w:sz w:val="24"/>
        <w:szCs w:val="20"/>
      </w:rPr>
      <w:br/>
    </w:r>
    <w:r w:rsidRPr="00B2211B">
      <w:rPr>
        <w:rFonts w:cs="Times New Roman"/>
        <w:smallCaps/>
        <w:spacing w:val="20"/>
        <w:sz w:val="24"/>
        <w:szCs w:val="20"/>
      </w:rPr>
      <w:t>Office of Research I</w:t>
    </w:r>
    <w:r>
      <w:rPr>
        <w:rFonts w:cs="Times New Roman"/>
        <w:smallCaps/>
        <w:spacing w:val="20"/>
        <w:sz w:val="24"/>
        <w:szCs w:val="20"/>
      </w:rPr>
      <w:t>ntegrity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3B2"/>
    <w:multiLevelType w:val="hybridMultilevel"/>
    <w:tmpl w:val="E138DE0E"/>
    <w:lvl w:ilvl="0" w:tplc="F3406CDE">
      <w:start w:val="3"/>
      <w:numFmt w:val="upperLetter"/>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85446"/>
    <w:multiLevelType w:val="hybridMultilevel"/>
    <w:tmpl w:val="7AA80CA0"/>
    <w:lvl w:ilvl="0" w:tplc="0BC02F90">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E44FA"/>
    <w:multiLevelType w:val="hybridMultilevel"/>
    <w:tmpl w:val="AA8EAE14"/>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FCC0FA1"/>
    <w:multiLevelType w:val="hybridMultilevel"/>
    <w:tmpl w:val="DC1EFF54"/>
    <w:lvl w:ilvl="0" w:tplc="6EF4E06A">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29F60A5"/>
    <w:multiLevelType w:val="hybridMultilevel"/>
    <w:tmpl w:val="3DB226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B223C"/>
    <w:multiLevelType w:val="hybridMultilevel"/>
    <w:tmpl w:val="086A4F0A"/>
    <w:lvl w:ilvl="0" w:tplc="92C412B0">
      <w:start w:val="4"/>
      <w:numFmt w:val="upperLetter"/>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8791A"/>
    <w:multiLevelType w:val="hybridMultilevel"/>
    <w:tmpl w:val="651414E0"/>
    <w:lvl w:ilvl="0" w:tplc="4204F2A8">
      <w:start w:val="1"/>
      <w:numFmt w:val="decimal"/>
      <w:lvlText w:val="%1."/>
      <w:lvlJc w:val="left"/>
      <w:pPr>
        <w:ind w:left="450" w:hanging="37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B610AF"/>
    <w:multiLevelType w:val="hybridMultilevel"/>
    <w:tmpl w:val="1048E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40AE3"/>
    <w:multiLevelType w:val="hybridMultilevel"/>
    <w:tmpl w:val="6FAEF9A6"/>
    <w:lvl w:ilvl="0" w:tplc="3A94ADA2">
      <w:start w:val="1"/>
      <w:numFmt w:val="upperLetter"/>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4CD84028"/>
    <w:multiLevelType w:val="hybridMultilevel"/>
    <w:tmpl w:val="7690F762"/>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1556CA"/>
    <w:multiLevelType w:val="hybridMultilevel"/>
    <w:tmpl w:val="BCD6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149FC"/>
    <w:multiLevelType w:val="hybridMultilevel"/>
    <w:tmpl w:val="FC7E2C7A"/>
    <w:lvl w:ilvl="0" w:tplc="E6B42C5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AF3276"/>
    <w:multiLevelType w:val="hybridMultilevel"/>
    <w:tmpl w:val="2DCA250A"/>
    <w:lvl w:ilvl="0" w:tplc="5E348F6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671794"/>
    <w:multiLevelType w:val="hybridMultilevel"/>
    <w:tmpl w:val="864C7002"/>
    <w:lvl w:ilvl="0" w:tplc="E6B42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EA211B"/>
    <w:multiLevelType w:val="hybridMultilevel"/>
    <w:tmpl w:val="53A2E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3"/>
  </w:num>
  <w:num w:numId="6">
    <w:abstractNumId w:val="13"/>
  </w:num>
  <w:num w:numId="7">
    <w:abstractNumId w:val="11"/>
  </w:num>
  <w:num w:numId="8">
    <w:abstractNumId w:val="4"/>
  </w:num>
  <w:num w:numId="9">
    <w:abstractNumId w:val="2"/>
  </w:num>
  <w:num w:numId="10">
    <w:abstractNumId w:val="1"/>
  </w:num>
  <w:num w:numId="11">
    <w:abstractNumId w:val="12"/>
  </w:num>
  <w:num w:numId="12">
    <w:abstractNumId w:val="10"/>
  </w:num>
  <w:num w:numId="13">
    <w:abstractNumId w:val="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09"/>
    <w:rsid w:val="00004244"/>
    <w:rsid w:val="00012F07"/>
    <w:rsid w:val="00016F54"/>
    <w:rsid w:val="000172FC"/>
    <w:rsid w:val="000355DC"/>
    <w:rsid w:val="00050E28"/>
    <w:rsid w:val="00053FB8"/>
    <w:rsid w:val="00065EE2"/>
    <w:rsid w:val="00067A48"/>
    <w:rsid w:val="00076A1A"/>
    <w:rsid w:val="000775AB"/>
    <w:rsid w:val="000879C5"/>
    <w:rsid w:val="00091374"/>
    <w:rsid w:val="00092B90"/>
    <w:rsid w:val="000960A8"/>
    <w:rsid w:val="000A5287"/>
    <w:rsid w:val="000B039B"/>
    <w:rsid w:val="000B4428"/>
    <w:rsid w:val="000B6C39"/>
    <w:rsid w:val="000C208E"/>
    <w:rsid w:val="000D1A4D"/>
    <w:rsid w:val="000D7040"/>
    <w:rsid w:val="000F0A7C"/>
    <w:rsid w:val="000F0E44"/>
    <w:rsid w:val="000F29E2"/>
    <w:rsid w:val="00117742"/>
    <w:rsid w:val="00117B6B"/>
    <w:rsid w:val="00124E8C"/>
    <w:rsid w:val="00127860"/>
    <w:rsid w:val="00140AFA"/>
    <w:rsid w:val="001411AB"/>
    <w:rsid w:val="001431FE"/>
    <w:rsid w:val="00143A9E"/>
    <w:rsid w:val="0015144B"/>
    <w:rsid w:val="00151E58"/>
    <w:rsid w:val="001551C2"/>
    <w:rsid w:val="00157641"/>
    <w:rsid w:val="00160695"/>
    <w:rsid w:val="00176AAE"/>
    <w:rsid w:val="00176C9E"/>
    <w:rsid w:val="00180EDE"/>
    <w:rsid w:val="0018420C"/>
    <w:rsid w:val="00192AD6"/>
    <w:rsid w:val="00197436"/>
    <w:rsid w:val="001A36E5"/>
    <w:rsid w:val="001A6FB0"/>
    <w:rsid w:val="001B0E4D"/>
    <w:rsid w:val="001F187C"/>
    <w:rsid w:val="001F1F92"/>
    <w:rsid w:val="001F31BF"/>
    <w:rsid w:val="001F429F"/>
    <w:rsid w:val="0020174E"/>
    <w:rsid w:val="00201B5C"/>
    <w:rsid w:val="002034AA"/>
    <w:rsid w:val="00213B92"/>
    <w:rsid w:val="00216571"/>
    <w:rsid w:val="00224C02"/>
    <w:rsid w:val="00232443"/>
    <w:rsid w:val="002337F4"/>
    <w:rsid w:val="00236863"/>
    <w:rsid w:val="00240C6B"/>
    <w:rsid w:val="002454C2"/>
    <w:rsid w:val="002455BE"/>
    <w:rsid w:val="00266C81"/>
    <w:rsid w:val="002806B8"/>
    <w:rsid w:val="002869CD"/>
    <w:rsid w:val="002C5A0D"/>
    <w:rsid w:val="002D6814"/>
    <w:rsid w:val="002E710D"/>
    <w:rsid w:val="002F25A2"/>
    <w:rsid w:val="002F48CB"/>
    <w:rsid w:val="003029A5"/>
    <w:rsid w:val="0030386D"/>
    <w:rsid w:val="00307A31"/>
    <w:rsid w:val="003114A2"/>
    <w:rsid w:val="00311C83"/>
    <w:rsid w:val="00320EBB"/>
    <w:rsid w:val="00322981"/>
    <w:rsid w:val="003403CF"/>
    <w:rsid w:val="00341267"/>
    <w:rsid w:val="00343C21"/>
    <w:rsid w:val="00347256"/>
    <w:rsid w:val="003504F8"/>
    <w:rsid w:val="003546EF"/>
    <w:rsid w:val="00367A5B"/>
    <w:rsid w:val="003B5D72"/>
    <w:rsid w:val="003C4665"/>
    <w:rsid w:val="003D284B"/>
    <w:rsid w:val="003E338D"/>
    <w:rsid w:val="003E620A"/>
    <w:rsid w:val="003E6C6E"/>
    <w:rsid w:val="003F0033"/>
    <w:rsid w:val="00401A3C"/>
    <w:rsid w:val="004077E1"/>
    <w:rsid w:val="00412EF8"/>
    <w:rsid w:val="00420508"/>
    <w:rsid w:val="004233CC"/>
    <w:rsid w:val="004259D7"/>
    <w:rsid w:val="0042612F"/>
    <w:rsid w:val="00434084"/>
    <w:rsid w:val="0043412E"/>
    <w:rsid w:val="0043711A"/>
    <w:rsid w:val="00441651"/>
    <w:rsid w:val="00461D0C"/>
    <w:rsid w:val="004705B4"/>
    <w:rsid w:val="004862B2"/>
    <w:rsid w:val="00490389"/>
    <w:rsid w:val="00490BA6"/>
    <w:rsid w:val="004A6C77"/>
    <w:rsid w:val="004B7C28"/>
    <w:rsid w:val="004D0A0B"/>
    <w:rsid w:val="004E7121"/>
    <w:rsid w:val="004E7E62"/>
    <w:rsid w:val="004F052D"/>
    <w:rsid w:val="005011F0"/>
    <w:rsid w:val="00502953"/>
    <w:rsid w:val="00504577"/>
    <w:rsid w:val="005065B5"/>
    <w:rsid w:val="00516824"/>
    <w:rsid w:val="00532744"/>
    <w:rsid w:val="00550E51"/>
    <w:rsid w:val="005529FC"/>
    <w:rsid w:val="00555014"/>
    <w:rsid w:val="00555C4B"/>
    <w:rsid w:val="00564430"/>
    <w:rsid w:val="005651C2"/>
    <w:rsid w:val="0057119A"/>
    <w:rsid w:val="0058328C"/>
    <w:rsid w:val="005867FE"/>
    <w:rsid w:val="005A3AB2"/>
    <w:rsid w:val="005A5AAF"/>
    <w:rsid w:val="005A68D4"/>
    <w:rsid w:val="005A6961"/>
    <w:rsid w:val="005B1042"/>
    <w:rsid w:val="005C3C1B"/>
    <w:rsid w:val="005C7DF0"/>
    <w:rsid w:val="005D5C2C"/>
    <w:rsid w:val="005D6498"/>
    <w:rsid w:val="005E1ABF"/>
    <w:rsid w:val="005E3E72"/>
    <w:rsid w:val="005E6812"/>
    <w:rsid w:val="0061419A"/>
    <w:rsid w:val="006207A4"/>
    <w:rsid w:val="006319C2"/>
    <w:rsid w:val="0064022C"/>
    <w:rsid w:val="006436AB"/>
    <w:rsid w:val="00663D19"/>
    <w:rsid w:val="00677A35"/>
    <w:rsid w:val="006945B4"/>
    <w:rsid w:val="00697A26"/>
    <w:rsid w:val="006A2FAB"/>
    <w:rsid w:val="006A3DA2"/>
    <w:rsid w:val="006B5BF4"/>
    <w:rsid w:val="006C0BB0"/>
    <w:rsid w:val="006D3F95"/>
    <w:rsid w:val="006F0343"/>
    <w:rsid w:val="006F1F54"/>
    <w:rsid w:val="00702639"/>
    <w:rsid w:val="00710463"/>
    <w:rsid w:val="00716ABF"/>
    <w:rsid w:val="00717750"/>
    <w:rsid w:val="007315FC"/>
    <w:rsid w:val="00753B9A"/>
    <w:rsid w:val="0075641F"/>
    <w:rsid w:val="007767DC"/>
    <w:rsid w:val="0079470C"/>
    <w:rsid w:val="007969B5"/>
    <w:rsid w:val="007A07B7"/>
    <w:rsid w:val="007A1C82"/>
    <w:rsid w:val="007A53AD"/>
    <w:rsid w:val="007A72B8"/>
    <w:rsid w:val="007A7F62"/>
    <w:rsid w:val="007B21B2"/>
    <w:rsid w:val="007C1FE3"/>
    <w:rsid w:val="007D064B"/>
    <w:rsid w:val="007D2493"/>
    <w:rsid w:val="007D2FC0"/>
    <w:rsid w:val="00826C44"/>
    <w:rsid w:val="008464F9"/>
    <w:rsid w:val="00852139"/>
    <w:rsid w:val="00854FC6"/>
    <w:rsid w:val="00860F09"/>
    <w:rsid w:val="008712B1"/>
    <w:rsid w:val="008728DC"/>
    <w:rsid w:val="008815A2"/>
    <w:rsid w:val="0089113A"/>
    <w:rsid w:val="008A0DDA"/>
    <w:rsid w:val="008A52C0"/>
    <w:rsid w:val="008B4FB6"/>
    <w:rsid w:val="008E75AF"/>
    <w:rsid w:val="008E7EBC"/>
    <w:rsid w:val="008F03F4"/>
    <w:rsid w:val="008F1DA2"/>
    <w:rsid w:val="00936A70"/>
    <w:rsid w:val="0094738E"/>
    <w:rsid w:val="00964A6C"/>
    <w:rsid w:val="009709F2"/>
    <w:rsid w:val="009734F4"/>
    <w:rsid w:val="00987D64"/>
    <w:rsid w:val="009A1B6D"/>
    <w:rsid w:val="009A3824"/>
    <w:rsid w:val="009A3C56"/>
    <w:rsid w:val="009A4C1A"/>
    <w:rsid w:val="009A5712"/>
    <w:rsid w:val="009B039F"/>
    <w:rsid w:val="009B4FEF"/>
    <w:rsid w:val="009B5B54"/>
    <w:rsid w:val="009C0A7A"/>
    <w:rsid w:val="009C1E5F"/>
    <w:rsid w:val="009C79F3"/>
    <w:rsid w:val="009F2632"/>
    <w:rsid w:val="00A07023"/>
    <w:rsid w:val="00A36121"/>
    <w:rsid w:val="00A369E0"/>
    <w:rsid w:val="00A37609"/>
    <w:rsid w:val="00A43477"/>
    <w:rsid w:val="00A43EC3"/>
    <w:rsid w:val="00A44E5F"/>
    <w:rsid w:val="00A52456"/>
    <w:rsid w:val="00A55F07"/>
    <w:rsid w:val="00A6436E"/>
    <w:rsid w:val="00A7244C"/>
    <w:rsid w:val="00AA3460"/>
    <w:rsid w:val="00AA72BD"/>
    <w:rsid w:val="00AB62C2"/>
    <w:rsid w:val="00AD35F2"/>
    <w:rsid w:val="00AD4F33"/>
    <w:rsid w:val="00AE0939"/>
    <w:rsid w:val="00AE7B25"/>
    <w:rsid w:val="00AF56A5"/>
    <w:rsid w:val="00B125D1"/>
    <w:rsid w:val="00B1421C"/>
    <w:rsid w:val="00B2028C"/>
    <w:rsid w:val="00B2211B"/>
    <w:rsid w:val="00B41F9B"/>
    <w:rsid w:val="00B473C8"/>
    <w:rsid w:val="00B50F8C"/>
    <w:rsid w:val="00B51163"/>
    <w:rsid w:val="00B6319E"/>
    <w:rsid w:val="00B73C0A"/>
    <w:rsid w:val="00B763CB"/>
    <w:rsid w:val="00B907F3"/>
    <w:rsid w:val="00B90EF9"/>
    <w:rsid w:val="00BA1378"/>
    <w:rsid w:val="00BA265C"/>
    <w:rsid w:val="00BC68A4"/>
    <w:rsid w:val="00BD2697"/>
    <w:rsid w:val="00BD6606"/>
    <w:rsid w:val="00BF274E"/>
    <w:rsid w:val="00C00539"/>
    <w:rsid w:val="00C02C42"/>
    <w:rsid w:val="00C1201F"/>
    <w:rsid w:val="00C12CEA"/>
    <w:rsid w:val="00C14E84"/>
    <w:rsid w:val="00C27DE8"/>
    <w:rsid w:val="00C3326D"/>
    <w:rsid w:val="00C36BB2"/>
    <w:rsid w:val="00C375BC"/>
    <w:rsid w:val="00C50EBE"/>
    <w:rsid w:val="00C57504"/>
    <w:rsid w:val="00C606D0"/>
    <w:rsid w:val="00C778EE"/>
    <w:rsid w:val="00C8514C"/>
    <w:rsid w:val="00C92F60"/>
    <w:rsid w:val="00CA45D5"/>
    <w:rsid w:val="00CB070A"/>
    <w:rsid w:val="00CB3002"/>
    <w:rsid w:val="00CD2E8E"/>
    <w:rsid w:val="00CD4857"/>
    <w:rsid w:val="00CE0B43"/>
    <w:rsid w:val="00D0091E"/>
    <w:rsid w:val="00D101E6"/>
    <w:rsid w:val="00D12D1F"/>
    <w:rsid w:val="00D14198"/>
    <w:rsid w:val="00D17F7E"/>
    <w:rsid w:val="00D25137"/>
    <w:rsid w:val="00D30256"/>
    <w:rsid w:val="00D342A8"/>
    <w:rsid w:val="00D34534"/>
    <w:rsid w:val="00D37442"/>
    <w:rsid w:val="00D44BBD"/>
    <w:rsid w:val="00D44FAE"/>
    <w:rsid w:val="00D6188E"/>
    <w:rsid w:val="00D654B7"/>
    <w:rsid w:val="00D75934"/>
    <w:rsid w:val="00D75DA8"/>
    <w:rsid w:val="00D77564"/>
    <w:rsid w:val="00D864F7"/>
    <w:rsid w:val="00D91292"/>
    <w:rsid w:val="00DB7C9B"/>
    <w:rsid w:val="00DC5A95"/>
    <w:rsid w:val="00DD0C84"/>
    <w:rsid w:val="00DD111C"/>
    <w:rsid w:val="00DD1645"/>
    <w:rsid w:val="00DD308D"/>
    <w:rsid w:val="00DD5529"/>
    <w:rsid w:val="00DD703E"/>
    <w:rsid w:val="00DF2306"/>
    <w:rsid w:val="00DF485F"/>
    <w:rsid w:val="00E06F30"/>
    <w:rsid w:val="00E078DB"/>
    <w:rsid w:val="00E1303F"/>
    <w:rsid w:val="00E16331"/>
    <w:rsid w:val="00E310DE"/>
    <w:rsid w:val="00E32400"/>
    <w:rsid w:val="00E34626"/>
    <w:rsid w:val="00E4636C"/>
    <w:rsid w:val="00E5730D"/>
    <w:rsid w:val="00E71054"/>
    <w:rsid w:val="00E746E1"/>
    <w:rsid w:val="00E75E30"/>
    <w:rsid w:val="00E82C54"/>
    <w:rsid w:val="00E909DA"/>
    <w:rsid w:val="00E97B2E"/>
    <w:rsid w:val="00EB643E"/>
    <w:rsid w:val="00ED220D"/>
    <w:rsid w:val="00ED4F29"/>
    <w:rsid w:val="00EE037E"/>
    <w:rsid w:val="00EF3A9B"/>
    <w:rsid w:val="00F057C8"/>
    <w:rsid w:val="00F1235E"/>
    <w:rsid w:val="00F17112"/>
    <w:rsid w:val="00F346C4"/>
    <w:rsid w:val="00F36C86"/>
    <w:rsid w:val="00F40FFB"/>
    <w:rsid w:val="00F526E4"/>
    <w:rsid w:val="00F75ADF"/>
    <w:rsid w:val="00F87342"/>
    <w:rsid w:val="00FA2740"/>
    <w:rsid w:val="00FA55E7"/>
    <w:rsid w:val="00FB1FEA"/>
    <w:rsid w:val="00FC6D7A"/>
    <w:rsid w:val="00FC7931"/>
    <w:rsid w:val="00FD617E"/>
    <w:rsid w:val="00FE14A7"/>
    <w:rsid w:val="00FF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EB650AC"/>
  <w15:docId w15:val="{E28534B6-832C-4209-84B6-DAD3DD6D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4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7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442"/>
  </w:style>
  <w:style w:type="paragraph" w:styleId="Footer">
    <w:name w:val="footer"/>
    <w:basedOn w:val="Normal"/>
    <w:link w:val="FooterChar"/>
    <w:uiPriority w:val="99"/>
    <w:unhideWhenUsed/>
    <w:rsid w:val="00D37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442"/>
  </w:style>
  <w:style w:type="paragraph" w:styleId="ListParagraph">
    <w:name w:val="List Paragraph"/>
    <w:basedOn w:val="Normal"/>
    <w:uiPriority w:val="34"/>
    <w:qFormat/>
    <w:rsid w:val="009A5712"/>
    <w:pPr>
      <w:ind w:left="720"/>
      <w:contextualSpacing/>
    </w:pPr>
  </w:style>
  <w:style w:type="paragraph" w:styleId="BalloonText">
    <w:name w:val="Balloon Text"/>
    <w:basedOn w:val="Normal"/>
    <w:link w:val="BalloonTextChar"/>
    <w:uiPriority w:val="99"/>
    <w:semiHidden/>
    <w:unhideWhenUsed/>
    <w:rsid w:val="008F0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3F4"/>
    <w:rPr>
      <w:rFonts w:ascii="Tahoma" w:hAnsi="Tahoma" w:cs="Tahoma"/>
      <w:sz w:val="16"/>
      <w:szCs w:val="16"/>
    </w:rPr>
  </w:style>
  <w:style w:type="paragraph" w:styleId="NoSpacing">
    <w:name w:val="No Spacing"/>
    <w:uiPriority w:val="1"/>
    <w:qFormat/>
    <w:rsid w:val="00E078DB"/>
    <w:pPr>
      <w:spacing w:after="0" w:line="240" w:lineRule="auto"/>
    </w:pPr>
    <w:rPr>
      <w:rFonts w:ascii="Calibri" w:hAnsi="Calibri" w:cs="Times New Roman"/>
    </w:rPr>
  </w:style>
  <w:style w:type="character" w:styleId="Hyperlink">
    <w:name w:val="Hyperlink"/>
    <w:basedOn w:val="DefaultParagraphFont"/>
    <w:uiPriority w:val="99"/>
    <w:unhideWhenUsed/>
    <w:rsid w:val="00050E28"/>
    <w:rPr>
      <w:color w:val="0000FF"/>
      <w:u w:val="single"/>
    </w:rPr>
  </w:style>
  <w:style w:type="character" w:styleId="PlaceholderText">
    <w:name w:val="Placeholder Text"/>
    <w:basedOn w:val="DefaultParagraphFont"/>
    <w:uiPriority w:val="99"/>
    <w:semiHidden/>
    <w:rsid w:val="00117B6B"/>
    <w:rPr>
      <w:color w:val="808080"/>
    </w:rPr>
  </w:style>
  <w:style w:type="character" w:styleId="CommentReference">
    <w:name w:val="annotation reference"/>
    <w:basedOn w:val="DefaultParagraphFont"/>
    <w:uiPriority w:val="99"/>
    <w:semiHidden/>
    <w:unhideWhenUsed/>
    <w:rsid w:val="00550E51"/>
    <w:rPr>
      <w:sz w:val="16"/>
      <w:szCs w:val="16"/>
    </w:rPr>
  </w:style>
  <w:style w:type="paragraph" w:styleId="CommentText">
    <w:name w:val="annotation text"/>
    <w:basedOn w:val="Normal"/>
    <w:link w:val="CommentTextChar"/>
    <w:uiPriority w:val="99"/>
    <w:unhideWhenUsed/>
    <w:rsid w:val="00550E51"/>
    <w:pPr>
      <w:spacing w:line="240" w:lineRule="auto"/>
    </w:pPr>
    <w:rPr>
      <w:sz w:val="20"/>
      <w:szCs w:val="20"/>
    </w:rPr>
  </w:style>
  <w:style w:type="character" w:customStyle="1" w:styleId="CommentTextChar">
    <w:name w:val="Comment Text Char"/>
    <w:basedOn w:val="DefaultParagraphFont"/>
    <w:link w:val="CommentText"/>
    <w:uiPriority w:val="99"/>
    <w:rsid w:val="00550E51"/>
    <w:rPr>
      <w:sz w:val="20"/>
      <w:szCs w:val="20"/>
    </w:rPr>
  </w:style>
  <w:style w:type="paragraph" w:styleId="CommentSubject">
    <w:name w:val="annotation subject"/>
    <w:basedOn w:val="CommentText"/>
    <w:next w:val="CommentText"/>
    <w:link w:val="CommentSubjectChar"/>
    <w:uiPriority w:val="99"/>
    <w:semiHidden/>
    <w:unhideWhenUsed/>
    <w:rsid w:val="00550E51"/>
    <w:rPr>
      <w:b/>
      <w:bCs/>
    </w:rPr>
  </w:style>
  <w:style w:type="character" w:customStyle="1" w:styleId="CommentSubjectChar">
    <w:name w:val="Comment Subject Char"/>
    <w:basedOn w:val="CommentTextChar"/>
    <w:link w:val="CommentSubject"/>
    <w:uiPriority w:val="99"/>
    <w:semiHidden/>
    <w:rsid w:val="00550E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47974">
      <w:bodyDiv w:val="1"/>
      <w:marLeft w:val="0"/>
      <w:marRight w:val="0"/>
      <w:marTop w:val="0"/>
      <w:marBottom w:val="0"/>
      <w:divBdr>
        <w:top w:val="none" w:sz="0" w:space="0" w:color="auto"/>
        <w:left w:val="none" w:sz="0" w:space="0" w:color="auto"/>
        <w:bottom w:val="none" w:sz="0" w:space="0" w:color="auto"/>
        <w:right w:val="none" w:sz="0" w:space="0" w:color="auto"/>
      </w:divBdr>
    </w:div>
    <w:div w:id="411244771">
      <w:bodyDiv w:val="1"/>
      <w:marLeft w:val="0"/>
      <w:marRight w:val="0"/>
      <w:marTop w:val="0"/>
      <w:marBottom w:val="0"/>
      <w:divBdr>
        <w:top w:val="none" w:sz="0" w:space="0" w:color="auto"/>
        <w:left w:val="none" w:sz="0" w:space="0" w:color="auto"/>
        <w:bottom w:val="none" w:sz="0" w:space="0" w:color="auto"/>
        <w:right w:val="none" w:sz="0" w:space="0" w:color="auto"/>
      </w:divBdr>
      <w:divsChild>
        <w:div w:id="258371742">
          <w:marLeft w:val="0"/>
          <w:marRight w:val="0"/>
          <w:marTop w:val="0"/>
          <w:marBottom w:val="0"/>
          <w:divBdr>
            <w:top w:val="none" w:sz="0" w:space="0" w:color="auto"/>
            <w:left w:val="none" w:sz="0" w:space="0" w:color="auto"/>
            <w:bottom w:val="none" w:sz="0" w:space="0" w:color="auto"/>
            <w:right w:val="none" w:sz="0" w:space="0" w:color="auto"/>
          </w:divBdr>
          <w:divsChild>
            <w:div w:id="1721053488">
              <w:marLeft w:val="0"/>
              <w:marRight w:val="0"/>
              <w:marTop w:val="0"/>
              <w:marBottom w:val="0"/>
              <w:divBdr>
                <w:top w:val="none" w:sz="0" w:space="0" w:color="auto"/>
                <w:left w:val="none" w:sz="0" w:space="0" w:color="auto"/>
                <w:bottom w:val="none" w:sz="0" w:space="0" w:color="auto"/>
                <w:right w:val="none" w:sz="0" w:space="0" w:color="auto"/>
              </w:divBdr>
              <w:divsChild>
                <w:div w:id="88896246">
                  <w:marLeft w:val="0"/>
                  <w:marRight w:val="0"/>
                  <w:marTop w:val="0"/>
                  <w:marBottom w:val="0"/>
                  <w:divBdr>
                    <w:top w:val="none" w:sz="0" w:space="0" w:color="auto"/>
                    <w:left w:val="none" w:sz="0" w:space="0" w:color="auto"/>
                    <w:bottom w:val="none" w:sz="0" w:space="0" w:color="auto"/>
                    <w:right w:val="none" w:sz="0" w:space="0" w:color="auto"/>
                  </w:divBdr>
                  <w:divsChild>
                    <w:div w:id="564609048">
                      <w:marLeft w:val="0"/>
                      <w:marRight w:val="0"/>
                      <w:marTop w:val="0"/>
                      <w:marBottom w:val="0"/>
                      <w:divBdr>
                        <w:top w:val="none" w:sz="0" w:space="0" w:color="auto"/>
                        <w:left w:val="none" w:sz="0" w:space="0" w:color="auto"/>
                        <w:bottom w:val="none" w:sz="0" w:space="0" w:color="auto"/>
                        <w:right w:val="none" w:sz="0" w:space="0" w:color="auto"/>
                      </w:divBdr>
                      <w:divsChild>
                        <w:div w:id="140275447">
                          <w:marLeft w:val="0"/>
                          <w:marRight w:val="0"/>
                          <w:marTop w:val="0"/>
                          <w:marBottom w:val="0"/>
                          <w:divBdr>
                            <w:top w:val="none" w:sz="0" w:space="0" w:color="auto"/>
                            <w:left w:val="none" w:sz="0" w:space="0" w:color="auto"/>
                            <w:bottom w:val="none" w:sz="0" w:space="0" w:color="auto"/>
                            <w:right w:val="none" w:sz="0" w:space="0" w:color="auto"/>
                          </w:divBdr>
                          <w:divsChild>
                            <w:div w:id="1972595216">
                              <w:marLeft w:val="0"/>
                              <w:marRight w:val="0"/>
                              <w:marTop w:val="0"/>
                              <w:marBottom w:val="0"/>
                              <w:divBdr>
                                <w:top w:val="none" w:sz="0" w:space="0" w:color="auto"/>
                                <w:left w:val="none" w:sz="0" w:space="0" w:color="auto"/>
                                <w:bottom w:val="none" w:sz="0" w:space="0" w:color="auto"/>
                                <w:right w:val="none" w:sz="0" w:space="0" w:color="auto"/>
                              </w:divBdr>
                              <w:divsChild>
                                <w:div w:id="1184900735">
                                  <w:marLeft w:val="0"/>
                                  <w:marRight w:val="0"/>
                                  <w:marTop w:val="0"/>
                                  <w:marBottom w:val="0"/>
                                  <w:divBdr>
                                    <w:top w:val="none" w:sz="0" w:space="0" w:color="auto"/>
                                    <w:left w:val="none" w:sz="0" w:space="0" w:color="auto"/>
                                    <w:bottom w:val="none" w:sz="0" w:space="0" w:color="auto"/>
                                    <w:right w:val="none" w:sz="0" w:space="0" w:color="auto"/>
                                  </w:divBdr>
                                  <w:divsChild>
                                    <w:div w:id="1431505028">
                                      <w:marLeft w:val="0"/>
                                      <w:marRight w:val="0"/>
                                      <w:marTop w:val="0"/>
                                      <w:marBottom w:val="0"/>
                                      <w:divBdr>
                                        <w:top w:val="none" w:sz="0" w:space="0" w:color="auto"/>
                                        <w:left w:val="none" w:sz="0" w:space="0" w:color="auto"/>
                                        <w:bottom w:val="none" w:sz="0" w:space="0" w:color="auto"/>
                                        <w:right w:val="none" w:sz="0" w:space="0" w:color="auto"/>
                                      </w:divBdr>
                                      <w:divsChild>
                                        <w:div w:id="1879009900">
                                          <w:marLeft w:val="0"/>
                                          <w:marRight w:val="0"/>
                                          <w:marTop w:val="0"/>
                                          <w:marBottom w:val="0"/>
                                          <w:divBdr>
                                            <w:top w:val="none" w:sz="0" w:space="0" w:color="auto"/>
                                            <w:left w:val="none" w:sz="0" w:space="0" w:color="auto"/>
                                            <w:bottom w:val="none" w:sz="0" w:space="0" w:color="auto"/>
                                            <w:right w:val="none" w:sz="0" w:space="0" w:color="auto"/>
                                          </w:divBdr>
                                          <w:divsChild>
                                            <w:div w:id="392312428">
                                              <w:marLeft w:val="0"/>
                                              <w:marRight w:val="0"/>
                                              <w:marTop w:val="0"/>
                                              <w:marBottom w:val="0"/>
                                              <w:divBdr>
                                                <w:top w:val="none" w:sz="0" w:space="0" w:color="auto"/>
                                                <w:left w:val="none" w:sz="0" w:space="0" w:color="auto"/>
                                                <w:bottom w:val="none" w:sz="0" w:space="0" w:color="auto"/>
                                                <w:right w:val="none" w:sz="0" w:space="0" w:color="auto"/>
                                              </w:divBdr>
                                              <w:divsChild>
                                                <w:div w:id="955020393">
                                                  <w:marLeft w:val="0"/>
                                                  <w:marRight w:val="0"/>
                                                  <w:marTop w:val="0"/>
                                                  <w:marBottom w:val="0"/>
                                                  <w:divBdr>
                                                    <w:top w:val="none" w:sz="0" w:space="0" w:color="auto"/>
                                                    <w:left w:val="none" w:sz="0" w:space="0" w:color="auto"/>
                                                    <w:bottom w:val="none" w:sz="0" w:space="0" w:color="auto"/>
                                                    <w:right w:val="none" w:sz="0" w:space="0" w:color="auto"/>
                                                  </w:divBdr>
                                                  <w:divsChild>
                                                    <w:div w:id="86049020">
                                                      <w:marLeft w:val="0"/>
                                                      <w:marRight w:val="0"/>
                                                      <w:marTop w:val="0"/>
                                                      <w:marBottom w:val="0"/>
                                                      <w:divBdr>
                                                        <w:top w:val="none" w:sz="0" w:space="0" w:color="auto"/>
                                                        <w:left w:val="none" w:sz="0" w:space="0" w:color="auto"/>
                                                        <w:bottom w:val="none" w:sz="0" w:space="0" w:color="auto"/>
                                                        <w:right w:val="none" w:sz="0" w:space="0" w:color="auto"/>
                                                      </w:divBdr>
                                                      <w:divsChild>
                                                        <w:div w:id="1042634021">
                                                          <w:marLeft w:val="0"/>
                                                          <w:marRight w:val="0"/>
                                                          <w:marTop w:val="0"/>
                                                          <w:marBottom w:val="0"/>
                                                          <w:divBdr>
                                                            <w:top w:val="none" w:sz="0" w:space="0" w:color="auto"/>
                                                            <w:left w:val="none" w:sz="0" w:space="0" w:color="auto"/>
                                                            <w:bottom w:val="none" w:sz="0" w:space="0" w:color="auto"/>
                                                            <w:right w:val="none" w:sz="0" w:space="0" w:color="auto"/>
                                                          </w:divBdr>
                                                          <w:divsChild>
                                                            <w:div w:id="2102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0827704">
      <w:bodyDiv w:val="1"/>
      <w:marLeft w:val="0"/>
      <w:marRight w:val="0"/>
      <w:marTop w:val="0"/>
      <w:marBottom w:val="0"/>
      <w:divBdr>
        <w:top w:val="none" w:sz="0" w:space="0" w:color="auto"/>
        <w:left w:val="none" w:sz="0" w:space="0" w:color="auto"/>
        <w:bottom w:val="none" w:sz="0" w:space="0" w:color="auto"/>
        <w:right w:val="none" w:sz="0" w:space="0" w:color="auto"/>
      </w:divBdr>
    </w:div>
    <w:div w:id="746146625">
      <w:bodyDiv w:val="1"/>
      <w:marLeft w:val="0"/>
      <w:marRight w:val="0"/>
      <w:marTop w:val="0"/>
      <w:marBottom w:val="0"/>
      <w:divBdr>
        <w:top w:val="none" w:sz="0" w:space="0" w:color="auto"/>
        <w:left w:val="none" w:sz="0" w:space="0" w:color="auto"/>
        <w:bottom w:val="none" w:sz="0" w:space="0" w:color="auto"/>
        <w:right w:val="none" w:sz="0" w:space="0" w:color="auto"/>
      </w:divBdr>
    </w:div>
    <w:div w:id="750811212">
      <w:bodyDiv w:val="1"/>
      <w:marLeft w:val="0"/>
      <w:marRight w:val="0"/>
      <w:marTop w:val="0"/>
      <w:marBottom w:val="0"/>
      <w:divBdr>
        <w:top w:val="none" w:sz="0" w:space="0" w:color="auto"/>
        <w:left w:val="none" w:sz="0" w:space="0" w:color="auto"/>
        <w:bottom w:val="none" w:sz="0" w:space="0" w:color="auto"/>
        <w:right w:val="none" w:sz="0" w:space="0" w:color="auto"/>
      </w:divBdr>
    </w:div>
    <w:div w:id="1011448078">
      <w:bodyDiv w:val="1"/>
      <w:marLeft w:val="0"/>
      <w:marRight w:val="0"/>
      <w:marTop w:val="0"/>
      <w:marBottom w:val="0"/>
      <w:divBdr>
        <w:top w:val="none" w:sz="0" w:space="0" w:color="auto"/>
        <w:left w:val="none" w:sz="0" w:space="0" w:color="auto"/>
        <w:bottom w:val="none" w:sz="0" w:space="0" w:color="auto"/>
        <w:right w:val="none" w:sz="0" w:space="0" w:color="auto"/>
      </w:divBdr>
    </w:div>
    <w:div w:id="1019503005">
      <w:bodyDiv w:val="1"/>
      <w:marLeft w:val="0"/>
      <w:marRight w:val="0"/>
      <w:marTop w:val="0"/>
      <w:marBottom w:val="0"/>
      <w:divBdr>
        <w:top w:val="none" w:sz="0" w:space="0" w:color="auto"/>
        <w:left w:val="none" w:sz="0" w:space="0" w:color="auto"/>
        <w:bottom w:val="none" w:sz="0" w:space="0" w:color="auto"/>
        <w:right w:val="none" w:sz="0" w:space="0" w:color="auto"/>
      </w:divBdr>
    </w:div>
    <w:div w:id="1415858836">
      <w:bodyDiv w:val="1"/>
      <w:marLeft w:val="0"/>
      <w:marRight w:val="0"/>
      <w:marTop w:val="0"/>
      <w:marBottom w:val="0"/>
      <w:divBdr>
        <w:top w:val="none" w:sz="0" w:space="0" w:color="auto"/>
        <w:left w:val="none" w:sz="0" w:space="0" w:color="auto"/>
        <w:bottom w:val="none" w:sz="0" w:space="0" w:color="auto"/>
        <w:right w:val="none" w:sz="0" w:space="0" w:color="auto"/>
      </w:divBdr>
    </w:div>
    <w:div w:id="1484199521">
      <w:bodyDiv w:val="1"/>
      <w:marLeft w:val="0"/>
      <w:marRight w:val="0"/>
      <w:marTop w:val="0"/>
      <w:marBottom w:val="0"/>
      <w:divBdr>
        <w:top w:val="none" w:sz="0" w:space="0" w:color="auto"/>
        <w:left w:val="none" w:sz="0" w:space="0" w:color="auto"/>
        <w:bottom w:val="none" w:sz="0" w:space="0" w:color="auto"/>
        <w:right w:val="none" w:sz="0" w:space="0" w:color="auto"/>
      </w:divBdr>
    </w:div>
    <w:div w:id="1966886745">
      <w:bodyDiv w:val="1"/>
      <w:marLeft w:val="0"/>
      <w:marRight w:val="0"/>
      <w:marTop w:val="0"/>
      <w:marBottom w:val="0"/>
      <w:divBdr>
        <w:top w:val="none" w:sz="0" w:space="0" w:color="auto"/>
        <w:left w:val="none" w:sz="0" w:space="0" w:color="auto"/>
        <w:bottom w:val="none" w:sz="0" w:space="0" w:color="auto"/>
        <w:right w:val="none" w:sz="0" w:space="0" w:color="auto"/>
      </w:divBdr>
    </w:div>
    <w:div w:id="2040163077">
      <w:bodyDiv w:val="1"/>
      <w:marLeft w:val="0"/>
      <w:marRight w:val="0"/>
      <w:marTop w:val="0"/>
      <w:marBottom w:val="0"/>
      <w:divBdr>
        <w:top w:val="none" w:sz="0" w:space="0" w:color="auto"/>
        <w:left w:val="none" w:sz="0" w:space="0" w:color="auto"/>
        <w:bottom w:val="none" w:sz="0" w:space="0" w:color="auto"/>
        <w:right w:val="none" w:sz="0" w:space="0" w:color="auto"/>
      </w:divBdr>
    </w:div>
    <w:div w:id="208086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ori.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Checklist: Policy and procedures for handling research misconduct allegations</vt:lpstr>
    </vt:vector>
  </TitlesOfParts>
  <Company>DHHS</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Policy and procedures for handling research misconduct allegations</dc:title>
  <dc:creator>U.S. Office of Research Integrity</dc:creator>
  <cp:lastModifiedBy>NguyenKhoa, Loc (HHS/OASH)</cp:lastModifiedBy>
  <cp:revision>13</cp:revision>
  <cp:lastPrinted>2017-02-22T21:28:00Z</cp:lastPrinted>
  <dcterms:created xsi:type="dcterms:W3CDTF">2017-02-22T18:37:00Z</dcterms:created>
  <dcterms:modified xsi:type="dcterms:W3CDTF">2019-11-26T15:41:00Z</dcterms:modified>
</cp:coreProperties>
</file>